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F5C27" w14:textId="3C73C89E" w:rsidR="00477835" w:rsidRPr="00E35E79" w:rsidRDefault="00A1598F" w:rsidP="00FB129D">
      <w:pPr>
        <w:pStyle w:val="Heading1"/>
        <w:spacing w:before="0"/>
        <w:rPr>
          <w:rFonts w:ascii="Arial" w:hAnsi="Arial" w:cs="Arial"/>
          <w:color w:val="1F497D" w:themeColor="text2"/>
          <w:sz w:val="20"/>
          <w:szCs w:val="20"/>
        </w:rPr>
      </w:pPr>
      <w:r>
        <w:rPr>
          <w:rFonts w:ascii="Arial" w:eastAsiaTheme="minorHAnsi" w:hAnsi="Arial" w:cs="Arial"/>
          <w:color w:val="404040" w:themeColor="text1" w:themeTint="BF"/>
          <w:sz w:val="32"/>
          <w:szCs w:val="32"/>
        </w:rPr>
        <w:t>Powered by Beef, Meat Led March Growth</w:t>
      </w:r>
      <w:r>
        <w:rPr>
          <w:rFonts w:ascii="Arial" w:eastAsiaTheme="minorHAnsi" w:hAnsi="Arial" w:cs="Arial"/>
          <w:color w:val="404040" w:themeColor="text1" w:themeTint="BF"/>
          <w:sz w:val="32"/>
          <w:szCs w:val="32"/>
        </w:rPr>
        <w:br/>
      </w:r>
      <w:r w:rsidR="00477835" w:rsidRPr="00E35E79">
        <w:rPr>
          <w:rFonts w:ascii="Arial" w:hAnsi="Arial" w:cs="Arial"/>
          <w:color w:val="1F497D" w:themeColor="text2"/>
          <w:sz w:val="20"/>
          <w:szCs w:val="20"/>
        </w:rPr>
        <w:t xml:space="preserve">By: </w:t>
      </w:r>
      <w:r w:rsidR="00825B09" w:rsidRPr="00E35E79">
        <w:rPr>
          <w:rFonts w:ascii="Arial" w:hAnsi="Arial" w:cs="Arial"/>
          <w:color w:val="1F497D" w:themeColor="text2"/>
          <w:sz w:val="20"/>
          <w:szCs w:val="20"/>
        </w:rPr>
        <w:t>Anne-Marie Roerink, President, 210 Analytics LLC</w:t>
      </w:r>
    </w:p>
    <w:p w14:paraId="5A9FAF66" w14:textId="00C203EB" w:rsidR="004B75E4" w:rsidRPr="009F5EA7" w:rsidRDefault="004B75E4" w:rsidP="00D85BA4">
      <w:pPr>
        <w:pStyle w:val="NoSpacing"/>
        <w:rPr>
          <w:rFonts w:ascii="Arial" w:hAnsi="Arial" w:cs="Arial"/>
          <w:b/>
          <w:bCs/>
          <w:color w:val="595959" w:themeColor="text1" w:themeTint="A6"/>
          <w:sz w:val="18"/>
        </w:rPr>
      </w:pPr>
    </w:p>
    <w:p w14:paraId="1D89C56D" w14:textId="03E78D34" w:rsidR="00A13AC1" w:rsidRPr="001A2D10" w:rsidRDefault="00193E59" w:rsidP="00A13AC1">
      <w:pPr>
        <w:pStyle w:val="NoSpacing"/>
        <w:rPr>
          <w:rFonts w:ascii="Arial" w:hAnsi="Arial" w:cs="Arial"/>
          <w:b/>
          <w:bCs/>
          <w:color w:val="595959" w:themeColor="text1" w:themeTint="A6"/>
          <w:sz w:val="24"/>
          <w:szCs w:val="24"/>
        </w:rPr>
      </w:pPr>
      <w:bookmarkStart w:id="0" w:name="_Hlk187590832"/>
      <w:bookmarkStart w:id="1" w:name="_Hlk174083389"/>
      <w:bookmarkStart w:id="2" w:name="_Hlk174043741"/>
      <w:bookmarkStart w:id="3" w:name="_Hlk179721807"/>
      <w:bookmarkStart w:id="4" w:name="_Hlk187580162"/>
      <w:bookmarkStart w:id="5" w:name="_Hlk216540238"/>
      <w:r>
        <w:rPr>
          <w:rFonts w:ascii="Arial" w:hAnsi="Arial" w:cs="Arial"/>
          <w:b/>
          <w:bCs/>
          <w:color w:val="595959" w:themeColor="text1" w:themeTint="A6"/>
          <w:sz w:val="24"/>
          <w:szCs w:val="24"/>
        </w:rPr>
        <w:t>March</w:t>
      </w:r>
      <w:r w:rsidR="00551BB7">
        <w:rPr>
          <w:rFonts w:ascii="Arial" w:hAnsi="Arial" w:cs="Arial"/>
          <w:b/>
          <w:bCs/>
          <w:color w:val="595959" w:themeColor="text1" w:themeTint="A6"/>
          <w:sz w:val="24"/>
          <w:szCs w:val="24"/>
        </w:rPr>
        <w:t xml:space="preserve"> </w:t>
      </w:r>
      <w:r w:rsidR="00A158BF">
        <w:rPr>
          <w:rFonts w:ascii="Arial" w:hAnsi="Arial" w:cs="Arial"/>
          <w:b/>
          <w:bCs/>
          <w:color w:val="595959" w:themeColor="text1" w:themeTint="A6"/>
          <w:sz w:val="24"/>
          <w:szCs w:val="24"/>
        </w:rPr>
        <w:t>in</w:t>
      </w:r>
      <w:r w:rsidR="00156CC6">
        <w:rPr>
          <w:rFonts w:ascii="Arial" w:hAnsi="Arial" w:cs="Arial"/>
          <w:b/>
          <w:bCs/>
          <w:color w:val="595959" w:themeColor="text1" w:themeTint="A6"/>
          <w:sz w:val="24"/>
          <w:szCs w:val="24"/>
        </w:rPr>
        <w:t xml:space="preserve"> </w:t>
      </w:r>
      <w:r w:rsidR="00A13AC1" w:rsidRPr="001A2D10">
        <w:rPr>
          <w:rFonts w:ascii="Arial" w:hAnsi="Arial" w:cs="Arial"/>
          <w:b/>
          <w:bCs/>
          <w:color w:val="595959" w:themeColor="text1" w:themeTint="A6"/>
          <w:sz w:val="24"/>
          <w:szCs w:val="24"/>
        </w:rPr>
        <w:t>Review</w:t>
      </w:r>
    </w:p>
    <w:bookmarkEnd w:id="0"/>
    <w:bookmarkEnd w:id="1"/>
    <w:bookmarkEnd w:id="2"/>
    <w:bookmarkEnd w:id="3"/>
    <w:bookmarkEnd w:id="4"/>
    <w:bookmarkEnd w:id="5"/>
    <w:p w14:paraId="67C82615" w14:textId="77777777" w:rsidR="00433655" w:rsidRPr="00D22F64" w:rsidRDefault="00433655" w:rsidP="00433655">
      <w:pPr>
        <w:pStyle w:val="NoSpacing"/>
        <w:numPr>
          <w:ilvl w:val="0"/>
          <w:numId w:val="5"/>
        </w:numPr>
        <w:rPr>
          <w:rFonts w:ascii="Arial" w:hAnsi="Arial" w:cs="Arial"/>
          <w:sz w:val="20"/>
          <w:szCs w:val="20"/>
        </w:rPr>
      </w:pPr>
      <w:r w:rsidRPr="00D22F64">
        <w:rPr>
          <w:rFonts w:ascii="Arial" w:hAnsi="Arial" w:cs="Arial"/>
          <w:sz w:val="20"/>
          <w:szCs w:val="20"/>
        </w:rPr>
        <w:t xml:space="preserve">Escalating gas prices, volatile financial markets, and ongoing inflation dampened consumer sentiment in March. The University of Michigan Index fell to 53.3 from 56.6 in February, marking the lowest level since December 2025. </w:t>
      </w:r>
    </w:p>
    <w:p w14:paraId="0469D0C5" w14:textId="77777777" w:rsidR="00433655" w:rsidRPr="00D22F64" w:rsidRDefault="00433655" w:rsidP="00433655">
      <w:pPr>
        <w:pStyle w:val="NoSpacing"/>
        <w:numPr>
          <w:ilvl w:val="0"/>
          <w:numId w:val="5"/>
        </w:numPr>
        <w:rPr>
          <w:rFonts w:ascii="Arial" w:hAnsi="Arial" w:cs="Arial"/>
          <w:sz w:val="20"/>
          <w:szCs w:val="20"/>
        </w:rPr>
      </w:pPr>
      <w:r w:rsidRPr="00D22F64">
        <w:rPr>
          <w:rFonts w:ascii="Arial" w:hAnsi="Arial" w:cs="Arial"/>
          <w:sz w:val="20"/>
          <w:szCs w:val="20"/>
        </w:rPr>
        <w:t xml:space="preserve">The Middle East conflict has pushed up energy, shipping/transportation and fertilizer costs, with fuel volatility affecting all links of the supply chain. </w:t>
      </w:r>
    </w:p>
    <w:p w14:paraId="6A7AC093" w14:textId="77777777" w:rsidR="00433655" w:rsidRPr="00D22F64" w:rsidRDefault="00433655" w:rsidP="00433655">
      <w:pPr>
        <w:pStyle w:val="NoSpacing"/>
        <w:numPr>
          <w:ilvl w:val="0"/>
          <w:numId w:val="5"/>
        </w:numPr>
        <w:rPr>
          <w:rFonts w:ascii="Arial" w:hAnsi="Arial" w:cs="Arial"/>
          <w:sz w:val="20"/>
          <w:szCs w:val="20"/>
        </w:rPr>
      </w:pPr>
      <w:r w:rsidRPr="00D22F64">
        <w:rPr>
          <w:rFonts w:ascii="Arial" w:hAnsi="Arial" w:cs="Arial"/>
          <w:sz w:val="20"/>
          <w:szCs w:val="20"/>
        </w:rPr>
        <w:t>Gas prices climbed to an average of $4.13 per gallon in March, up $1.12 from February. Historical patterns, such as during the 2008–2009 Great Recession, show mobility can decline when sustained spikes hit already strained consumers</w:t>
      </w:r>
      <w:r w:rsidRPr="004F5170">
        <w:rPr>
          <w:rFonts w:ascii="Arial" w:hAnsi="Arial" w:cs="Arial"/>
          <w:sz w:val="20"/>
          <w:szCs w:val="20"/>
        </w:rPr>
        <w:t xml:space="preserve">, </w:t>
      </w:r>
      <w:r w:rsidRPr="00D22F64">
        <w:rPr>
          <w:rFonts w:ascii="Arial" w:hAnsi="Arial" w:cs="Arial"/>
          <w:sz w:val="20"/>
          <w:szCs w:val="20"/>
        </w:rPr>
        <w:t xml:space="preserve">tending to impact convenience stores and foodservice more than grocery retail. </w:t>
      </w:r>
    </w:p>
    <w:p w14:paraId="023AAB49" w14:textId="77777777" w:rsidR="00433655" w:rsidRPr="00D22F64" w:rsidRDefault="00433655" w:rsidP="00433655">
      <w:pPr>
        <w:pStyle w:val="NoSpacing"/>
        <w:numPr>
          <w:ilvl w:val="0"/>
          <w:numId w:val="5"/>
        </w:numPr>
        <w:rPr>
          <w:rFonts w:ascii="Arial" w:hAnsi="Arial" w:cs="Arial"/>
          <w:sz w:val="20"/>
          <w:szCs w:val="20"/>
        </w:rPr>
      </w:pPr>
      <w:r w:rsidRPr="00D22F64">
        <w:rPr>
          <w:rFonts w:ascii="Arial" w:hAnsi="Arial" w:cs="Arial"/>
          <w:sz w:val="20"/>
          <w:szCs w:val="20"/>
        </w:rPr>
        <w:t xml:space="preserve">Higher tax refunds may provide near-term relief, with the average refund 11% higher than at the same point last year. Year-to-date, this equates to an additional $23 billion versus last year. </w:t>
      </w:r>
    </w:p>
    <w:p w14:paraId="1FC9C7DE" w14:textId="77777777" w:rsidR="00433655" w:rsidRPr="00D22F64" w:rsidRDefault="00433655" w:rsidP="00433655">
      <w:pPr>
        <w:pStyle w:val="NoSpacing"/>
        <w:numPr>
          <w:ilvl w:val="0"/>
          <w:numId w:val="5"/>
        </w:numPr>
        <w:rPr>
          <w:rFonts w:ascii="Arial" w:hAnsi="Arial" w:cs="Arial"/>
          <w:sz w:val="20"/>
          <w:szCs w:val="20"/>
        </w:rPr>
      </w:pPr>
      <w:r w:rsidRPr="00D22F64">
        <w:rPr>
          <w:rFonts w:ascii="Arial" w:hAnsi="Arial" w:cs="Arial"/>
          <w:sz w:val="20"/>
          <w:szCs w:val="20"/>
        </w:rPr>
        <w:t xml:space="preserve">Unemployment edged down to 4.3% with solid job growth in March. However, the labor market remains tight, with job seekers still outnumbering available openings. </w:t>
      </w:r>
    </w:p>
    <w:p w14:paraId="1B0559E8" w14:textId="77777777" w:rsidR="00433655" w:rsidRPr="00D22F64" w:rsidRDefault="00433655" w:rsidP="00433655">
      <w:pPr>
        <w:pStyle w:val="NoSpacing"/>
        <w:numPr>
          <w:ilvl w:val="0"/>
          <w:numId w:val="5"/>
        </w:numPr>
        <w:rPr>
          <w:rFonts w:ascii="Arial" w:hAnsi="Arial" w:cs="Arial"/>
          <w:sz w:val="20"/>
          <w:szCs w:val="20"/>
        </w:rPr>
      </w:pPr>
      <w:r w:rsidRPr="00D22F64">
        <w:rPr>
          <w:rFonts w:ascii="Arial" w:hAnsi="Arial" w:cs="Arial"/>
          <w:sz w:val="20"/>
          <w:szCs w:val="20"/>
        </w:rPr>
        <w:t xml:space="preserve">Demonstrating resilience amid rising costs, total consumer spending in the first </w:t>
      </w:r>
      <w:r>
        <w:rPr>
          <w:rFonts w:ascii="Arial" w:hAnsi="Arial" w:cs="Arial"/>
          <w:sz w:val="20"/>
          <w:szCs w:val="20"/>
        </w:rPr>
        <w:t xml:space="preserve">10 </w:t>
      </w:r>
      <w:r w:rsidRPr="00D22F64">
        <w:rPr>
          <w:rFonts w:ascii="Arial" w:hAnsi="Arial" w:cs="Arial"/>
          <w:sz w:val="20"/>
          <w:szCs w:val="20"/>
        </w:rPr>
        <w:t xml:space="preserve">weeks of 2026 </w:t>
      </w:r>
      <w:r>
        <w:rPr>
          <w:rFonts w:ascii="Arial" w:hAnsi="Arial" w:cs="Arial"/>
          <w:sz w:val="20"/>
          <w:szCs w:val="20"/>
        </w:rPr>
        <w:t>wa</w:t>
      </w:r>
      <w:r w:rsidRPr="00D22F64">
        <w:rPr>
          <w:rFonts w:ascii="Arial" w:hAnsi="Arial" w:cs="Arial"/>
          <w:sz w:val="20"/>
          <w:szCs w:val="20"/>
        </w:rPr>
        <w:t xml:space="preserve">s up 2% versus the same period last year, according to Circana. </w:t>
      </w:r>
    </w:p>
    <w:p w14:paraId="3756E3FC" w14:textId="77777777" w:rsidR="00433655" w:rsidRPr="00FE6732" w:rsidRDefault="00433655" w:rsidP="00433655">
      <w:pPr>
        <w:pStyle w:val="NoSpacing"/>
        <w:numPr>
          <w:ilvl w:val="0"/>
          <w:numId w:val="5"/>
        </w:numPr>
        <w:rPr>
          <w:rFonts w:ascii="Arial" w:hAnsi="Arial" w:cs="Arial"/>
          <w:sz w:val="20"/>
          <w:szCs w:val="20"/>
        </w:rPr>
      </w:pPr>
      <w:r w:rsidRPr="009E5DA0">
        <w:rPr>
          <w:rFonts w:ascii="Arial" w:hAnsi="Arial" w:cs="Arial"/>
          <w:noProof/>
          <w:sz w:val="20"/>
          <w:szCs w:val="20"/>
          <w:lang w:val="nl-NL" w:eastAsia="nl-NL"/>
        </w:rPr>
        <w:drawing>
          <wp:anchor distT="0" distB="0" distL="114300" distR="114300" simplePos="0" relativeHeight="251660288" behindDoc="1" locked="0" layoutInCell="1" allowOverlap="1" wp14:anchorId="1B75180F" wp14:editId="7B8AD673">
            <wp:simplePos x="0" y="0"/>
            <wp:positionH relativeFrom="margin">
              <wp:align>left</wp:align>
            </wp:positionH>
            <wp:positionV relativeFrom="paragraph">
              <wp:posOffset>548502</wp:posOffset>
            </wp:positionV>
            <wp:extent cx="6663055" cy="1645920"/>
            <wp:effectExtent l="0" t="0" r="4445" b="11430"/>
            <wp:wrapTopAndBottom/>
            <wp:docPr id="25561967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Pr="00FE6732">
        <w:rPr>
          <w:rFonts w:ascii="Arial" w:hAnsi="Arial" w:cs="Arial"/>
          <w:sz w:val="20"/>
          <w:szCs w:val="20"/>
        </w:rPr>
        <w:t>Retail food and beverage volume sales stabilized after a volatile start to 2026, with year-to-date volume up 0.4%, suggesting essentials remain protected. In contrast to retail gains, foodservice traffic fell 0.3% in 2025, according to Circana. Restaurant trips are also down 1% in the first quarter and 2% over the past month.</w:t>
      </w:r>
    </w:p>
    <w:p w14:paraId="2601FFAC" w14:textId="77777777" w:rsidR="00193E59" w:rsidRDefault="00193E59" w:rsidP="00193E59">
      <w:pPr>
        <w:pStyle w:val="NoSpacing"/>
      </w:pPr>
    </w:p>
    <w:p w14:paraId="35BA3C0E" w14:textId="77777777" w:rsidR="00193E59" w:rsidRPr="00A03E2F" w:rsidRDefault="00193E59" w:rsidP="00193E59">
      <w:pPr>
        <w:pStyle w:val="NoSpacing"/>
        <w:rPr>
          <w:rFonts w:ascii="Arial" w:hAnsi="Arial" w:cs="Arial"/>
          <w:b/>
          <w:color w:val="595959" w:themeColor="text1" w:themeTint="A6"/>
        </w:rPr>
      </w:pPr>
      <w:r w:rsidRPr="00A03E2F">
        <w:rPr>
          <w:rFonts w:ascii="Arial" w:hAnsi="Arial" w:cs="Arial"/>
          <w:b/>
          <w:color w:val="595959" w:themeColor="text1" w:themeTint="A6"/>
        </w:rPr>
        <w:t>Inflation Insights</w:t>
      </w:r>
    </w:p>
    <w:p w14:paraId="449EC55E" w14:textId="77777777" w:rsidR="00193E59" w:rsidRPr="009118D6" w:rsidRDefault="00193E59" w:rsidP="00193E59">
      <w:pPr>
        <w:pStyle w:val="NoSpacing"/>
        <w:rPr>
          <w:rFonts w:ascii="Arial" w:hAnsi="Arial" w:cs="Arial"/>
          <w:sz w:val="20"/>
          <w:szCs w:val="20"/>
        </w:rPr>
      </w:pPr>
      <w:r w:rsidRPr="009118D6">
        <w:rPr>
          <w:rFonts w:ascii="Arial" w:hAnsi="Arial" w:cs="Arial"/>
          <w:sz w:val="20"/>
          <w:szCs w:val="20"/>
        </w:rPr>
        <w:t>Retail food and beverage price growth remained mild at 1.5% year-over-year in March 2026 (four weeks ending 3/29/2026). However, this overall increase masks a widening divergence: center-store items continue to see meaningful inflation, while perishable departments are experiencing slight deflation.</w:t>
      </w:r>
    </w:p>
    <w:p w14:paraId="1A0690A6" w14:textId="77777777" w:rsidR="00193E59" w:rsidRPr="009118D6" w:rsidRDefault="00193E59" w:rsidP="00193E59">
      <w:pPr>
        <w:pStyle w:val="NoSpacing"/>
        <w:numPr>
          <w:ilvl w:val="0"/>
          <w:numId w:val="4"/>
        </w:numPr>
        <w:rPr>
          <w:rFonts w:ascii="Arial" w:hAnsi="Arial" w:cs="Arial"/>
          <w:sz w:val="20"/>
          <w:szCs w:val="20"/>
        </w:rPr>
      </w:pPr>
      <w:r w:rsidRPr="009118D6">
        <w:rPr>
          <w:rFonts w:ascii="Arial" w:hAnsi="Arial" w:cs="Arial"/>
          <w:sz w:val="20"/>
          <w:szCs w:val="20"/>
        </w:rPr>
        <w:t xml:space="preserve">Center-store prices averaged $4.11 per unit, up 3.7% year-over-year. </w:t>
      </w:r>
    </w:p>
    <w:p w14:paraId="08E8008E" w14:textId="77777777" w:rsidR="00193E59" w:rsidRPr="009118D6" w:rsidRDefault="00193E59" w:rsidP="00193E59">
      <w:pPr>
        <w:pStyle w:val="NoSpacing"/>
        <w:numPr>
          <w:ilvl w:val="0"/>
          <w:numId w:val="4"/>
        </w:numPr>
        <w:rPr>
          <w:rFonts w:ascii="Arial" w:hAnsi="Arial" w:cs="Arial"/>
          <w:sz w:val="20"/>
          <w:szCs w:val="20"/>
        </w:rPr>
      </w:pPr>
      <w:r w:rsidRPr="009118D6">
        <w:rPr>
          <w:rFonts w:ascii="Arial" w:hAnsi="Arial" w:cs="Arial"/>
          <w:sz w:val="20"/>
          <w:szCs w:val="20"/>
        </w:rPr>
        <w:t>Perishable prices averaged $4.33 per unit, down 0.5% versus March 2025.</w:t>
      </w:r>
    </w:p>
    <w:p w14:paraId="476A0FAB" w14:textId="77777777" w:rsidR="00193E59" w:rsidRPr="00C91044" w:rsidRDefault="00193E59" w:rsidP="00193E59">
      <w:pPr>
        <w:pStyle w:val="NoSpacing"/>
        <w:rPr>
          <w:rFonts w:ascii="Arial" w:hAnsi="Arial" w:cs="Arial"/>
          <w:sz w:val="20"/>
          <w:szCs w:val="20"/>
        </w:rPr>
      </w:pPr>
    </w:p>
    <w:tbl>
      <w:tblPr>
        <w:tblStyle w:val="GridTable4"/>
        <w:tblW w:w="10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7"/>
        <w:gridCol w:w="739"/>
        <w:gridCol w:w="777"/>
        <w:gridCol w:w="739"/>
        <w:gridCol w:w="855"/>
        <w:gridCol w:w="739"/>
        <w:gridCol w:w="739"/>
        <w:gridCol w:w="739"/>
        <w:gridCol w:w="739"/>
        <w:gridCol w:w="739"/>
        <w:gridCol w:w="732"/>
        <w:gridCol w:w="742"/>
        <w:gridCol w:w="742"/>
      </w:tblGrid>
      <w:tr w:rsidR="00193E59" w:rsidRPr="00545B05" w14:paraId="1AB8381B" w14:textId="77777777" w:rsidTr="00193E59">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137" w:type="dxa"/>
            <w:shd w:val="clear" w:color="auto" w:fill="17365D"/>
            <w:hideMark/>
          </w:tcPr>
          <w:p w14:paraId="4AE7E2EB" w14:textId="77777777" w:rsidR="00193E59" w:rsidRPr="002E7AF4" w:rsidRDefault="00193E59" w:rsidP="00193E59">
            <w:pPr>
              <w:pStyle w:val="NoSpacing"/>
              <w:rPr>
                <w:rFonts w:ascii="Arial" w:hAnsi="Arial" w:cs="Arial"/>
                <w:sz w:val="18"/>
              </w:rPr>
            </w:pPr>
            <w:r w:rsidRPr="002E7AF4">
              <w:rPr>
                <w:rFonts w:ascii="Arial" w:hAnsi="Arial" w:cs="Arial"/>
                <w:sz w:val="18"/>
              </w:rPr>
              <w:t>Food &amp; beverages</w:t>
            </w:r>
          </w:p>
        </w:tc>
        <w:tc>
          <w:tcPr>
            <w:tcW w:w="739" w:type="dxa"/>
            <w:shd w:val="clear" w:color="auto" w:fill="17365D"/>
            <w:vAlign w:val="center"/>
            <w:hideMark/>
          </w:tcPr>
          <w:p w14:paraId="3CF93C5F" w14:textId="77777777" w:rsidR="00193E59" w:rsidRPr="002E7AF4" w:rsidRDefault="00193E59" w:rsidP="00193E59">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2019</w:t>
            </w:r>
          </w:p>
        </w:tc>
        <w:tc>
          <w:tcPr>
            <w:tcW w:w="777" w:type="dxa"/>
            <w:shd w:val="clear" w:color="auto" w:fill="17365D"/>
            <w:vAlign w:val="center"/>
            <w:hideMark/>
          </w:tcPr>
          <w:p w14:paraId="408DCAAC" w14:textId="77777777" w:rsidR="00193E59" w:rsidRPr="002E7AF4" w:rsidRDefault="00193E59" w:rsidP="00193E59">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2020</w:t>
            </w:r>
          </w:p>
        </w:tc>
        <w:tc>
          <w:tcPr>
            <w:tcW w:w="739" w:type="dxa"/>
            <w:shd w:val="clear" w:color="auto" w:fill="17365D"/>
            <w:vAlign w:val="center"/>
            <w:hideMark/>
          </w:tcPr>
          <w:p w14:paraId="1AA5113D" w14:textId="77777777" w:rsidR="00193E59" w:rsidRPr="002E7AF4" w:rsidRDefault="00193E59" w:rsidP="00193E59">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2021</w:t>
            </w:r>
          </w:p>
        </w:tc>
        <w:tc>
          <w:tcPr>
            <w:tcW w:w="855" w:type="dxa"/>
            <w:shd w:val="clear" w:color="auto" w:fill="17365D"/>
            <w:vAlign w:val="center"/>
            <w:hideMark/>
          </w:tcPr>
          <w:p w14:paraId="49930217" w14:textId="77777777" w:rsidR="00193E59" w:rsidRPr="002E7AF4" w:rsidRDefault="00193E59" w:rsidP="00193E59">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2022</w:t>
            </w:r>
          </w:p>
        </w:tc>
        <w:tc>
          <w:tcPr>
            <w:tcW w:w="739" w:type="dxa"/>
            <w:shd w:val="clear" w:color="auto" w:fill="17365D"/>
            <w:vAlign w:val="center"/>
            <w:hideMark/>
          </w:tcPr>
          <w:p w14:paraId="27C3F749" w14:textId="77777777" w:rsidR="00193E59" w:rsidRPr="002E7AF4" w:rsidRDefault="00193E59" w:rsidP="00193E59">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2023</w:t>
            </w:r>
          </w:p>
        </w:tc>
        <w:tc>
          <w:tcPr>
            <w:tcW w:w="739" w:type="dxa"/>
            <w:shd w:val="clear" w:color="auto" w:fill="17365D"/>
            <w:vAlign w:val="center"/>
          </w:tcPr>
          <w:p w14:paraId="23F27793" w14:textId="77777777" w:rsidR="00193E59" w:rsidRPr="002E7AF4" w:rsidRDefault="00193E59" w:rsidP="00193E59">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2024</w:t>
            </w:r>
          </w:p>
        </w:tc>
        <w:tc>
          <w:tcPr>
            <w:tcW w:w="739" w:type="dxa"/>
            <w:shd w:val="clear" w:color="auto" w:fill="17365D"/>
            <w:vAlign w:val="center"/>
          </w:tcPr>
          <w:p w14:paraId="27E203E4" w14:textId="77777777" w:rsidR="00193E59" w:rsidRPr="002E7AF4" w:rsidRDefault="00193E59" w:rsidP="00193E59">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2025</w:t>
            </w:r>
          </w:p>
        </w:tc>
        <w:tc>
          <w:tcPr>
            <w:tcW w:w="739" w:type="dxa"/>
            <w:shd w:val="clear" w:color="auto" w:fill="17365D"/>
          </w:tcPr>
          <w:p w14:paraId="24BC123A" w14:textId="77777777" w:rsidR="00193E59" w:rsidRPr="002E7AF4" w:rsidRDefault="00193E59" w:rsidP="00193E59">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Q2 2025</w:t>
            </w:r>
          </w:p>
        </w:tc>
        <w:tc>
          <w:tcPr>
            <w:tcW w:w="739" w:type="dxa"/>
            <w:shd w:val="clear" w:color="auto" w:fill="17365D"/>
            <w:hideMark/>
          </w:tcPr>
          <w:p w14:paraId="5E141116" w14:textId="77777777" w:rsidR="00193E59" w:rsidRPr="002E7AF4" w:rsidRDefault="00193E59" w:rsidP="00193E59">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Q3 2025</w:t>
            </w:r>
          </w:p>
        </w:tc>
        <w:tc>
          <w:tcPr>
            <w:tcW w:w="732" w:type="dxa"/>
            <w:shd w:val="clear" w:color="auto" w:fill="17365D"/>
          </w:tcPr>
          <w:p w14:paraId="42E066EA" w14:textId="77777777" w:rsidR="00193E59" w:rsidRDefault="00193E59" w:rsidP="00193E59">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Q4 2025</w:t>
            </w:r>
          </w:p>
        </w:tc>
        <w:tc>
          <w:tcPr>
            <w:tcW w:w="742" w:type="dxa"/>
            <w:shd w:val="clear" w:color="auto" w:fill="17365D"/>
          </w:tcPr>
          <w:p w14:paraId="35D8E464" w14:textId="77777777" w:rsidR="00193E59" w:rsidRDefault="00193E59" w:rsidP="00193E59">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Q1 2026</w:t>
            </w:r>
          </w:p>
        </w:tc>
        <w:tc>
          <w:tcPr>
            <w:tcW w:w="742" w:type="dxa"/>
            <w:shd w:val="clear" w:color="auto" w:fill="17365D"/>
            <w:vAlign w:val="center"/>
            <w:hideMark/>
          </w:tcPr>
          <w:p w14:paraId="5CBEB1CF" w14:textId="77777777" w:rsidR="00193E59" w:rsidRPr="002E7AF4" w:rsidRDefault="00193E59" w:rsidP="00193E59">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Mar.</w:t>
            </w:r>
            <w:r w:rsidRPr="002E7AF4">
              <w:rPr>
                <w:rFonts w:ascii="Arial" w:hAnsi="Arial" w:cs="Arial"/>
                <w:sz w:val="18"/>
              </w:rPr>
              <w:br/>
              <w:t>202</w:t>
            </w:r>
            <w:r>
              <w:rPr>
                <w:rFonts w:ascii="Arial" w:hAnsi="Arial" w:cs="Arial"/>
                <w:sz w:val="18"/>
              </w:rPr>
              <w:t>6</w:t>
            </w:r>
          </w:p>
        </w:tc>
      </w:tr>
      <w:tr w:rsidR="00193E59" w:rsidRPr="00545B05" w14:paraId="16E79843" w14:textId="77777777" w:rsidTr="00193E59">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137" w:type="dxa"/>
          </w:tcPr>
          <w:p w14:paraId="284D187C" w14:textId="77777777" w:rsidR="00193E59" w:rsidRPr="00A55502" w:rsidRDefault="00193E59" w:rsidP="00193E59">
            <w:pPr>
              <w:pStyle w:val="NoSpacing"/>
              <w:rPr>
                <w:rFonts w:ascii="Arial" w:hAnsi="Arial" w:cs="Arial"/>
                <w:b w:val="0"/>
                <w:bCs w:val="0"/>
                <w:sz w:val="18"/>
              </w:rPr>
            </w:pPr>
            <w:r w:rsidRPr="00A55502">
              <w:rPr>
                <w:rFonts w:ascii="Arial" w:hAnsi="Arial" w:cs="Arial"/>
                <w:b w:val="0"/>
                <w:bCs w:val="0"/>
                <w:sz w:val="18"/>
              </w:rPr>
              <w:t>PPU</w:t>
            </w:r>
          </w:p>
        </w:tc>
        <w:tc>
          <w:tcPr>
            <w:tcW w:w="739" w:type="dxa"/>
            <w:vAlign w:val="center"/>
          </w:tcPr>
          <w:p w14:paraId="30B11B20" w14:textId="77777777" w:rsidR="00193E59" w:rsidRPr="002E7AF4" w:rsidRDefault="00193E59" w:rsidP="00193E5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$3.13</w:t>
            </w:r>
          </w:p>
        </w:tc>
        <w:tc>
          <w:tcPr>
            <w:tcW w:w="777" w:type="dxa"/>
            <w:vAlign w:val="center"/>
          </w:tcPr>
          <w:p w14:paraId="156A5872" w14:textId="77777777" w:rsidR="00193E59" w:rsidRPr="002E7AF4" w:rsidRDefault="00193E59" w:rsidP="00193E5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$3.31</w:t>
            </w:r>
          </w:p>
        </w:tc>
        <w:tc>
          <w:tcPr>
            <w:tcW w:w="739" w:type="dxa"/>
            <w:vAlign w:val="center"/>
          </w:tcPr>
          <w:p w14:paraId="2BCFBB46" w14:textId="77777777" w:rsidR="00193E59" w:rsidRPr="002E7AF4" w:rsidRDefault="00193E59" w:rsidP="00193E5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$3.49</w:t>
            </w:r>
          </w:p>
        </w:tc>
        <w:tc>
          <w:tcPr>
            <w:tcW w:w="855" w:type="dxa"/>
            <w:vAlign w:val="center"/>
          </w:tcPr>
          <w:p w14:paraId="5B502633" w14:textId="77777777" w:rsidR="00193E59" w:rsidRPr="002E7AF4" w:rsidRDefault="00193E59" w:rsidP="00193E5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$3.93</w:t>
            </w:r>
          </w:p>
        </w:tc>
        <w:tc>
          <w:tcPr>
            <w:tcW w:w="739" w:type="dxa"/>
            <w:vAlign w:val="center"/>
          </w:tcPr>
          <w:p w14:paraId="2CD64E17" w14:textId="77777777" w:rsidR="00193E59" w:rsidRPr="002E7AF4" w:rsidRDefault="00193E59" w:rsidP="00193E5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$4.17</w:t>
            </w:r>
          </w:p>
        </w:tc>
        <w:tc>
          <w:tcPr>
            <w:tcW w:w="739" w:type="dxa"/>
            <w:vAlign w:val="center"/>
          </w:tcPr>
          <w:p w14:paraId="347EA0D9" w14:textId="77777777" w:rsidR="00193E59" w:rsidRPr="002E7AF4" w:rsidRDefault="00193E59" w:rsidP="00193E5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$4.24</w:t>
            </w:r>
          </w:p>
        </w:tc>
        <w:tc>
          <w:tcPr>
            <w:tcW w:w="739" w:type="dxa"/>
          </w:tcPr>
          <w:p w14:paraId="78ED6C29" w14:textId="77777777" w:rsidR="00193E59" w:rsidRPr="002E7AF4" w:rsidRDefault="00193E59" w:rsidP="00193E5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$4.29</w:t>
            </w:r>
          </w:p>
        </w:tc>
        <w:tc>
          <w:tcPr>
            <w:tcW w:w="739" w:type="dxa"/>
          </w:tcPr>
          <w:p w14:paraId="475B5E19" w14:textId="77777777" w:rsidR="00193E59" w:rsidRPr="002E7AF4" w:rsidRDefault="00193E59" w:rsidP="00193E5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$4.30</w:t>
            </w:r>
          </w:p>
        </w:tc>
        <w:tc>
          <w:tcPr>
            <w:tcW w:w="739" w:type="dxa"/>
            <w:vAlign w:val="center"/>
          </w:tcPr>
          <w:p w14:paraId="1735D301" w14:textId="77777777" w:rsidR="00193E59" w:rsidRPr="002E7AF4" w:rsidRDefault="00193E59" w:rsidP="00193E5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4.31</w:t>
            </w:r>
          </w:p>
        </w:tc>
        <w:tc>
          <w:tcPr>
            <w:tcW w:w="732" w:type="dxa"/>
            <w:vAlign w:val="center"/>
          </w:tcPr>
          <w:p w14:paraId="06EC92C0" w14:textId="77777777" w:rsidR="00193E59" w:rsidRPr="002E7AF4" w:rsidRDefault="00193E59" w:rsidP="00193E5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4.32</w:t>
            </w:r>
          </w:p>
        </w:tc>
        <w:tc>
          <w:tcPr>
            <w:tcW w:w="742" w:type="dxa"/>
            <w:vAlign w:val="center"/>
          </w:tcPr>
          <w:p w14:paraId="3CC68ADE" w14:textId="77777777" w:rsidR="00193E59" w:rsidRPr="002E7AF4" w:rsidRDefault="00193E59" w:rsidP="00193E5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4.32</w:t>
            </w:r>
          </w:p>
        </w:tc>
        <w:tc>
          <w:tcPr>
            <w:tcW w:w="742" w:type="dxa"/>
            <w:vAlign w:val="center"/>
          </w:tcPr>
          <w:p w14:paraId="27CA4C8D" w14:textId="77777777" w:rsidR="00193E59" w:rsidRPr="002E7AF4" w:rsidRDefault="00193E59" w:rsidP="00193E5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4.33</w:t>
            </w:r>
          </w:p>
        </w:tc>
      </w:tr>
      <w:tr w:rsidR="00193E59" w:rsidRPr="00545B05" w14:paraId="4C0C08A1" w14:textId="77777777" w:rsidTr="00193E59">
        <w:trPr>
          <w:trHeight w:val="226"/>
        </w:trPr>
        <w:tc>
          <w:tcPr>
            <w:cnfStyle w:val="001000000000" w:firstRow="0" w:lastRow="0" w:firstColumn="1" w:lastColumn="0" w:oddVBand="0" w:evenVBand="0" w:oddHBand="0" w:evenHBand="0" w:firstRowFirstColumn="0" w:firstRowLastColumn="0" w:lastRowFirstColumn="0" w:lastRowLastColumn="0"/>
            <w:tcW w:w="1137" w:type="dxa"/>
            <w:hideMark/>
          </w:tcPr>
          <w:p w14:paraId="4DC9106A" w14:textId="77777777" w:rsidR="00193E59" w:rsidRPr="00A55502" w:rsidRDefault="00193E59" w:rsidP="00193E59">
            <w:pPr>
              <w:pStyle w:val="NoSpacing"/>
              <w:rPr>
                <w:rFonts w:ascii="Arial" w:hAnsi="Arial" w:cs="Arial"/>
                <w:b w:val="0"/>
                <w:bCs w:val="0"/>
                <w:sz w:val="18"/>
              </w:rPr>
            </w:pPr>
            <w:r w:rsidRPr="00A55502">
              <w:rPr>
                <w:rFonts w:ascii="Arial" w:hAnsi="Arial" w:cs="Arial"/>
                <w:b w:val="0"/>
                <w:bCs w:val="0"/>
                <w:sz w:val="18"/>
              </w:rPr>
              <w:t xml:space="preserve">Change </w:t>
            </w:r>
          </w:p>
        </w:tc>
        <w:tc>
          <w:tcPr>
            <w:tcW w:w="739" w:type="dxa"/>
            <w:vAlign w:val="center"/>
            <w:hideMark/>
          </w:tcPr>
          <w:p w14:paraId="358796B0" w14:textId="77777777" w:rsidR="00193E59" w:rsidRPr="002E7AF4" w:rsidRDefault="00193E59" w:rsidP="00193E5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w:t>
            </w:r>
          </w:p>
        </w:tc>
        <w:tc>
          <w:tcPr>
            <w:tcW w:w="777" w:type="dxa"/>
            <w:vAlign w:val="center"/>
            <w:hideMark/>
          </w:tcPr>
          <w:p w14:paraId="2DACB229" w14:textId="77777777" w:rsidR="00193E59" w:rsidRPr="002E7AF4" w:rsidRDefault="00193E59" w:rsidP="00193E5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+5.7%</w:t>
            </w:r>
          </w:p>
        </w:tc>
        <w:tc>
          <w:tcPr>
            <w:tcW w:w="739" w:type="dxa"/>
            <w:vAlign w:val="center"/>
            <w:hideMark/>
          </w:tcPr>
          <w:p w14:paraId="553B88AA" w14:textId="77777777" w:rsidR="00193E59" w:rsidRPr="002E7AF4" w:rsidRDefault="00193E59" w:rsidP="00193E5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+5.5%</w:t>
            </w:r>
          </w:p>
        </w:tc>
        <w:tc>
          <w:tcPr>
            <w:tcW w:w="855" w:type="dxa"/>
            <w:vAlign w:val="center"/>
            <w:hideMark/>
          </w:tcPr>
          <w:p w14:paraId="67F6BD51" w14:textId="77777777" w:rsidR="00193E59" w:rsidRPr="002E7AF4" w:rsidRDefault="00193E59" w:rsidP="00193E5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+12.5%</w:t>
            </w:r>
          </w:p>
        </w:tc>
        <w:tc>
          <w:tcPr>
            <w:tcW w:w="739" w:type="dxa"/>
            <w:vAlign w:val="center"/>
            <w:hideMark/>
          </w:tcPr>
          <w:p w14:paraId="7FC9CB47" w14:textId="77777777" w:rsidR="00193E59" w:rsidRPr="002E7AF4" w:rsidRDefault="00193E59" w:rsidP="00193E5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+6.1%</w:t>
            </w:r>
          </w:p>
        </w:tc>
        <w:tc>
          <w:tcPr>
            <w:tcW w:w="739" w:type="dxa"/>
            <w:vAlign w:val="center"/>
          </w:tcPr>
          <w:p w14:paraId="7B88507C" w14:textId="77777777" w:rsidR="00193E59" w:rsidRPr="002E7AF4" w:rsidRDefault="00193E59" w:rsidP="00193E5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+1.7%</w:t>
            </w:r>
          </w:p>
        </w:tc>
        <w:tc>
          <w:tcPr>
            <w:tcW w:w="739" w:type="dxa"/>
          </w:tcPr>
          <w:p w14:paraId="3784A241" w14:textId="77777777" w:rsidR="00193E59" w:rsidRPr="002E7AF4" w:rsidRDefault="00193E59" w:rsidP="00193E5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+2.6%</w:t>
            </w:r>
          </w:p>
        </w:tc>
        <w:tc>
          <w:tcPr>
            <w:tcW w:w="739" w:type="dxa"/>
          </w:tcPr>
          <w:p w14:paraId="76515F2B" w14:textId="77777777" w:rsidR="00193E59" w:rsidRPr="002E7AF4" w:rsidRDefault="00193E59" w:rsidP="00193E5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+2.7%</w:t>
            </w:r>
          </w:p>
        </w:tc>
        <w:tc>
          <w:tcPr>
            <w:tcW w:w="739" w:type="dxa"/>
            <w:vAlign w:val="center"/>
            <w:hideMark/>
          </w:tcPr>
          <w:p w14:paraId="2ABCE05F" w14:textId="77777777" w:rsidR="00193E59" w:rsidRPr="002E7AF4" w:rsidRDefault="00193E59" w:rsidP="00193E5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3.0</w:t>
            </w:r>
            <w:r w:rsidRPr="002E7AF4">
              <w:rPr>
                <w:rFonts w:ascii="Arial" w:hAnsi="Arial" w:cs="Arial"/>
                <w:sz w:val="18"/>
              </w:rPr>
              <w:t>%</w:t>
            </w:r>
          </w:p>
        </w:tc>
        <w:tc>
          <w:tcPr>
            <w:tcW w:w="732" w:type="dxa"/>
            <w:vAlign w:val="center"/>
          </w:tcPr>
          <w:p w14:paraId="2AF857C8" w14:textId="77777777" w:rsidR="00193E59" w:rsidRPr="002E7AF4" w:rsidRDefault="00193E59" w:rsidP="00193E5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1.8</w:t>
            </w:r>
            <w:r w:rsidRPr="002E7AF4">
              <w:rPr>
                <w:rFonts w:ascii="Arial" w:hAnsi="Arial" w:cs="Arial"/>
                <w:sz w:val="18"/>
              </w:rPr>
              <w:t>%</w:t>
            </w:r>
          </w:p>
        </w:tc>
        <w:tc>
          <w:tcPr>
            <w:tcW w:w="742" w:type="dxa"/>
            <w:vAlign w:val="center"/>
          </w:tcPr>
          <w:p w14:paraId="144C6123" w14:textId="77777777" w:rsidR="00193E59" w:rsidRPr="002E7AF4" w:rsidRDefault="00193E59" w:rsidP="00193E5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1.8</w:t>
            </w:r>
            <w:r w:rsidRPr="002E7AF4">
              <w:rPr>
                <w:rFonts w:ascii="Arial" w:hAnsi="Arial" w:cs="Arial"/>
                <w:sz w:val="18"/>
              </w:rPr>
              <w:t>%</w:t>
            </w:r>
          </w:p>
        </w:tc>
        <w:tc>
          <w:tcPr>
            <w:tcW w:w="742" w:type="dxa"/>
            <w:vAlign w:val="center"/>
            <w:hideMark/>
          </w:tcPr>
          <w:p w14:paraId="51372826" w14:textId="77777777" w:rsidR="00193E59" w:rsidRPr="002E7AF4" w:rsidRDefault="00193E59" w:rsidP="00193E5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1.5</w:t>
            </w:r>
            <w:r w:rsidRPr="002E7AF4">
              <w:rPr>
                <w:rFonts w:ascii="Arial" w:hAnsi="Arial" w:cs="Arial"/>
                <w:sz w:val="18"/>
              </w:rPr>
              <w:t>%</w:t>
            </w:r>
          </w:p>
        </w:tc>
      </w:tr>
    </w:tbl>
    <w:p w14:paraId="04B3E5A1" w14:textId="77777777" w:rsidR="00193E59" w:rsidRPr="00492C26" w:rsidRDefault="00193E59" w:rsidP="00193E59">
      <w:pPr>
        <w:pStyle w:val="NoSpacing"/>
        <w:rPr>
          <w:sz w:val="8"/>
          <w:szCs w:val="8"/>
        </w:rPr>
      </w:pPr>
    </w:p>
    <w:p w14:paraId="047CFC80" w14:textId="77777777" w:rsidR="00193E59" w:rsidRPr="00B7673F" w:rsidRDefault="00193E59" w:rsidP="00193E59">
      <w:pPr>
        <w:pStyle w:val="NoSpacing"/>
        <w:rPr>
          <w:rFonts w:ascii="Arial" w:hAnsi="Arial" w:cs="Arial"/>
          <w:color w:val="7F7F7F" w:themeColor="text1" w:themeTint="80"/>
          <w:sz w:val="16"/>
          <w:szCs w:val="16"/>
        </w:rPr>
      </w:pPr>
      <w:r w:rsidRPr="00B7673F">
        <w:rPr>
          <w:rFonts w:ascii="Arial" w:hAnsi="Arial" w:cs="Arial"/>
          <w:color w:val="7F7F7F" w:themeColor="text1" w:themeTint="80"/>
          <w:sz w:val="16"/>
          <w:szCs w:val="16"/>
        </w:rPr>
        <w:t>Source: Circana, Integrated Fresh, Total U.S., MULO+</w:t>
      </w:r>
    </w:p>
    <w:p w14:paraId="2C7AED0B" w14:textId="77777777" w:rsidR="00366BE1" w:rsidRPr="00DF0C47" w:rsidRDefault="00366BE1" w:rsidP="00366BE1">
      <w:pPr>
        <w:pStyle w:val="NoSpacing"/>
        <w:rPr>
          <w:rFonts w:ascii="Arial" w:hAnsi="Arial" w:cs="Arial"/>
          <w:sz w:val="20"/>
          <w:szCs w:val="20"/>
        </w:rPr>
      </w:pPr>
    </w:p>
    <w:p w14:paraId="24F9F5EA" w14:textId="6DA64113" w:rsidR="003C0E12" w:rsidRDefault="001D2B3D" w:rsidP="00A54264">
      <w:pPr>
        <w:spacing w:after="0" w:line="240" w:lineRule="auto"/>
        <w:rPr>
          <w:rFonts w:ascii="Arial" w:hAnsi="Arial" w:cs="Arial"/>
          <w:color w:val="000000" w:themeColor="text1"/>
          <w:sz w:val="20"/>
          <w:szCs w:val="20"/>
        </w:rPr>
      </w:pPr>
      <w:r>
        <w:rPr>
          <w:rFonts w:ascii="Arial" w:hAnsi="Arial" w:cs="Arial"/>
          <w:color w:val="000000" w:themeColor="text1"/>
          <w:sz w:val="20"/>
          <w:szCs w:val="20"/>
        </w:rPr>
        <w:t>Prices continued to increase in the meat depart</w:t>
      </w:r>
      <w:r w:rsidR="000D7CB9">
        <w:rPr>
          <w:rFonts w:ascii="Arial" w:hAnsi="Arial" w:cs="Arial"/>
          <w:color w:val="000000" w:themeColor="text1"/>
          <w:sz w:val="20"/>
          <w:szCs w:val="20"/>
        </w:rPr>
        <w:t>ment</w:t>
      </w:r>
      <w:r w:rsidR="00433655">
        <w:rPr>
          <w:rFonts w:ascii="Arial" w:hAnsi="Arial" w:cs="Arial"/>
          <w:color w:val="000000" w:themeColor="text1"/>
          <w:sz w:val="20"/>
          <w:szCs w:val="20"/>
        </w:rPr>
        <w:t>, though processed meat prices fell 1.8%, influenced by smoked ham prices and the earlier Easter timing</w:t>
      </w:r>
      <w:r w:rsidR="000D7CB9">
        <w:rPr>
          <w:rFonts w:ascii="Arial" w:hAnsi="Arial" w:cs="Arial"/>
          <w:color w:val="000000" w:themeColor="text1"/>
          <w:sz w:val="20"/>
          <w:szCs w:val="20"/>
        </w:rPr>
        <w:t xml:space="preserve">. Fresh meat prices grew </w:t>
      </w:r>
      <w:r w:rsidR="00647FDF">
        <w:rPr>
          <w:rFonts w:ascii="Arial" w:hAnsi="Arial" w:cs="Arial"/>
          <w:color w:val="000000" w:themeColor="text1"/>
          <w:sz w:val="20"/>
          <w:szCs w:val="20"/>
        </w:rPr>
        <w:t>5.1</w:t>
      </w:r>
      <w:r w:rsidR="000D7CB9">
        <w:rPr>
          <w:rFonts w:ascii="Arial" w:hAnsi="Arial" w:cs="Arial"/>
          <w:color w:val="000000" w:themeColor="text1"/>
          <w:sz w:val="20"/>
          <w:szCs w:val="20"/>
        </w:rPr>
        <w:t xml:space="preserve">% in </w:t>
      </w:r>
      <w:r w:rsidR="00193E59">
        <w:rPr>
          <w:rFonts w:ascii="Arial" w:hAnsi="Arial" w:cs="Arial"/>
          <w:color w:val="000000" w:themeColor="text1"/>
          <w:sz w:val="20"/>
          <w:szCs w:val="20"/>
        </w:rPr>
        <w:t>March</w:t>
      </w:r>
      <w:r w:rsidR="00931616">
        <w:rPr>
          <w:rFonts w:ascii="Arial" w:hAnsi="Arial" w:cs="Arial"/>
          <w:color w:val="000000" w:themeColor="text1"/>
          <w:sz w:val="20"/>
          <w:szCs w:val="20"/>
        </w:rPr>
        <w:t xml:space="preserve">. </w:t>
      </w:r>
      <w:r>
        <w:rPr>
          <w:rFonts w:ascii="Arial" w:hAnsi="Arial" w:cs="Arial"/>
          <w:color w:val="000000" w:themeColor="text1"/>
          <w:sz w:val="20"/>
          <w:szCs w:val="20"/>
        </w:rPr>
        <w:t xml:space="preserve"> </w:t>
      </w:r>
    </w:p>
    <w:p w14:paraId="7A6572E9" w14:textId="77777777" w:rsidR="00D058C0" w:rsidRPr="009F5EA7" w:rsidRDefault="00D058C0" w:rsidP="00A54264">
      <w:pPr>
        <w:spacing w:after="0" w:line="240" w:lineRule="auto"/>
        <w:rPr>
          <w:rFonts w:ascii="Arial" w:hAnsi="Arial" w:cs="Arial"/>
          <w:color w:val="000000" w:themeColor="text1"/>
          <w:sz w:val="12"/>
          <w:szCs w:val="14"/>
        </w:rPr>
      </w:pPr>
    </w:p>
    <w:tbl>
      <w:tblPr>
        <w:tblStyle w:val="LightShading-Accent5"/>
        <w:tblW w:w="10260" w:type="dxa"/>
        <w:tblBorders>
          <w:top w:val="none" w:sz="0" w:space="0" w:color="auto"/>
          <w:bottom w:val="none" w:sz="0" w:space="0" w:color="auto"/>
        </w:tblBorders>
        <w:tblLook w:val="04A0" w:firstRow="1" w:lastRow="0" w:firstColumn="1" w:lastColumn="0" w:noHBand="0" w:noVBand="1"/>
      </w:tblPr>
      <w:tblGrid>
        <w:gridCol w:w="4500"/>
        <w:gridCol w:w="1568"/>
        <w:gridCol w:w="1916"/>
        <w:gridCol w:w="2276"/>
      </w:tblGrid>
      <w:tr w:rsidR="003C65CF" w:rsidRPr="002A71C0" w14:paraId="6D441614" w14:textId="77777777" w:rsidTr="00193E59">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4500" w:type="dxa"/>
            <w:tcBorders>
              <w:top w:val="none" w:sz="0" w:space="0" w:color="auto"/>
              <w:bottom w:val="none" w:sz="0" w:space="0" w:color="auto"/>
            </w:tcBorders>
            <w:shd w:val="clear" w:color="auto" w:fill="17365D" w:themeFill="text2" w:themeFillShade="BF"/>
            <w:vAlign w:val="center"/>
          </w:tcPr>
          <w:p w14:paraId="33455567" w14:textId="6B4583E7" w:rsidR="003C65CF" w:rsidRPr="006879B2" w:rsidRDefault="000B35DB" w:rsidP="00156A0E">
            <w:pPr>
              <w:pStyle w:val="NoSpacing"/>
              <w:rPr>
                <w:rFonts w:ascii="Arial" w:hAnsi="Arial" w:cs="Arial"/>
                <w:color w:val="FFFFFF" w:themeColor="background1"/>
                <w:sz w:val="18"/>
                <w:szCs w:val="18"/>
              </w:rPr>
            </w:pPr>
            <w:r>
              <w:rPr>
                <w:rFonts w:ascii="Arial" w:hAnsi="Arial" w:cs="Arial"/>
                <w:color w:val="FFFFFF" w:themeColor="background1"/>
                <w:sz w:val="18"/>
                <w:szCs w:val="18"/>
              </w:rPr>
              <w:t>Price inflation (price/</w:t>
            </w:r>
            <w:r w:rsidR="003B1161" w:rsidRPr="00E96E7F">
              <w:rPr>
                <w:rFonts w:ascii="Arial" w:hAnsi="Arial" w:cs="Arial"/>
                <w:color w:val="FFFFFF" w:themeColor="background1"/>
                <w:sz w:val="18"/>
                <w:szCs w:val="18"/>
                <w:shd w:val="clear" w:color="auto" w:fill="17365D" w:themeFill="text2" w:themeFillShade="BF"/>
              </w:rPr>
              <w:t>volume</w:t>
            </w:r>
            <w:r>
              <w:rPr>
                <w:rFonts w:ascii="Arial" w:hAnsi="Arial" w:cs="Arial"/>
                <w:color w:val="FFFFFF" w:themeColor="background1"/>
                <w:sz w:val="18"/>
                <w:szCs w:val="18"/>
              </w:rPr>
              <w:t>)</w:t>
            </w:r>
          </w:p>
        </w:tc>
        <w:tc>
          <w:tcPr>
            <w:tcW w:w="1568" w:type="dxa"/>
            <w:tcBorders>
              <w:top w:val="none" w:sz="0" w:space="0" w:color="auto"/>
              <w:bottom w:val="none" w:sz="0" w:space="0" w:color="auto"/>
            </w:tcBorders>
            <w:shd w:val="clear" w:color="auto" w:fill="17365D" w:themeFill="text2" w:themeFillShade="BF"/>
            <w:vAlign w:val="center"/>
          </w:tcPr>
          <w:p w14:paraId="05EA1C40" w14:textId="70FA7117" w:rsidR="003C65CF" w:rsidRPr="006879B2" w:rsidRDefault="003C65CF" w:rsidP="00156A0E">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Price/volume</w:t>
            </w:r>
          </w:p>
        </w:tc>
        <w:tc>
          <w:tcPr>
            <w:tcW w:w="1916" w:type="dxa"/>
            <w:tcBorders>
              <w:top w:val="none" w:sz="0" w:space="0" w:color="auto"/>
              <w:bottom w:val="none" w:sz="0" w:space="0" w:color="auto"/>
            </w:tcBorders>
            <w:shd w:val="clear" w:color="auto" w:fill="17365D"/>
            <w:vAlign w:val="center"/>
          </w:tcPr>
          <w:p w14:paraId="1FB11B24" w14:textId="696DD8DD" w:rsidR="003C65CF" w:rsidRPr="006879B2" w:rsidRDefault="003C65CF" w:rsidP="00156A0E">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 xml:space="preserve">Change vs. </w:t>
            </w:r>
            <w:r w:rsidR="00F12C9A">
              <w:rPr>
                <w:rFonts w:ascii="Arial" w:hAnsi="Arial" w:cs="Arial"/>
                <w:color w:val="FFFFFF" w:themeColor="background1"/>
                <w:sz w:val="18"/>
                <w:szCs w:val="18"/>
              </w:rPr>
              <w:t>YA</w:t>
            </w:r>
          </w:p>
        </w:tc>
        <w:tc>
          <w:tcPr>
            <w:tcW w:w="2276" w:type="dxa"/>
            <w:tcBorders>
              <w:top w:val="none" w:sz="0" w:space="0" w:color="auto"/>
              <w:bottom w:val="none" w:sz="0" w:space="0" w:color="auto"/>
            </w:tcBorders>
            <w:shd w:val="clear" w:color="auto" w:fill="17365D"/>
            <w:vAlign w:val="center"/>
          </w:tcPr>
          <w:p w14:paraId="686B08F9" w14:textId="14B85680" w:rsidR="003C65CF" w:rsidRPr="006879B2" w:rsidRDefault="003C65CF" w:rsidP="00156A0E">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Change vs.</w:t>
            </w:r>
            <w:r w:rsidR="00702F57">
              <w:rPr>
                <w:rFonts w:ascii="Arial" w:hAnsi="Arial" w:cs="Arial"/>
                <w:color w:val="FFFFFF" w:themeColor="background1"/>
                <w:sz w:val="18"/>
                <w:szCs w:val="18"/>
              </w:rPr>
              <w:t>3</w:t>
            </w:r>
            <w:r w:rsidR="00F12C9A">
              <w:rPr>
                <w:rFonts w:ascii="Arial" w:hAnsi="Arial" w:cs="Arial"/>
                <w:color w:val="FFFFFF" w:themeColor="background1"/>
                <w:sz w:val="18"/>
                <w:szCs w:val="18"/>
              </w:rPr>
              <w:t>YA</w:t>
            </w:r>
          </w:p>
        </w:tc>
      </w:tr>
      <w:tr w:rsidR="00193E59" w:rsidRPr="00FA2467" w14:paraId="09ED1CF0" w14:textId="77777777" w:rsidTr="00275BE8">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500" w:type="dxa"/>
            <w:shd w:val="clear" w:color="auto" w:fill="D9D9D9" w:themeFill="background1" w:themeFillShade="D9"/>
            <w:vAlign w:val="center"/>
          </w:tcPr>
          <w:p w14:paraId="680FE8B6" w14:textId="4329072F" w:rsidR="00193E59" w:rsidRPr="00275BE8" w:rsidRDefault="00193E59" w:rsidP="00193E59">
            <w:pPr>
              <w:pStyle w:val="NoSpacing"/>
              <w:rPr>
                <w:rFonts w:ascii="Arial" w:hAnsi="Arial" w:cs="Arial"/>
                <w:color w:val="000000" w:themeColor="text1"/>
                <w:sz w:val="18"/>
                <w:szCs w:val="18"/>
              </w:rPr>
            </w:pPr>
            <w:r w:rsidRPr="00275BE8">
              <w:rPr>
                <w:rFonts w:ascii="Arial" w:hAnsi="Arial" w:cs="Arial"/>
                <w:color w:val="000000" w:themeColor="text1"/>
                <w:sz w:val="18"/>
                <w:szCs w:val="18"/>
              </w:rPr>
              <w:t xml:space="preserve">Total meat (FW and RW) </w:t>
            </w:r>
            <w:r>
              <w:rPr>
                <w:rFonts w:ascii="Arial" w:hAnsi="Arial" w:cs="Arial"/>
                <w:color w:val="000000" w:themeColor="text1"/>
                <w:sz w:val="18"/>
                <w:szCs w:val="18"/>
              </w:rPr>
              <w:t>March</w:t>
            </w:r>
            <w:r w:rsidRPr="00275BE8">
              <w:rPr>
                <w:rFonts w:ascii="Arial" w:hAnsi="Arial" w:cs="Arial"/>
                <w:color w:val="000000" w:themeColor="text1"/>
                <w:sz w:val="18"/>
                <w:szCs w:val="18"/>
              </w:rPr>
              <w:t xml:space="preserve"> 2026</w:t>
            </w:r>
          </w:p>
        </w:tc>
        <w:tc>
          <w:tcPr>
            <w:tcW w:w="1568" w:type="dxa"/>
            <w:shd w:val="clear" w:color="auto" w:fill="D9D9D9" w:themeFill="background1" w:themeFillShade="D9"/>
            <w:vAlign w:val="center"/>
          </w:tcPr>
          <w:p w14:paraId="455F7A3D" w14:textId="206FF1ED" w:rsidR="00193E59" w:rsidRPr="00275BE8" w:rsidRDefault="00193E59" w:rsidP="00193E59">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sidRPr="00275BE8">
              <w:rPr>
                <w:rFonts w:ascii="Arial" w:hAnsi="Arial" w:cs="Arial"/>
                <w:b/>
                <w:bCs/>
                <w:color w:val="000000" w:themeColor="text1"/>
                <w:sz w:val="18"/>
                <w:szCs w:val="18"/>
              </w:rPr>
              <w:t>$</w:t>
            </w:r>
            <w:r w:rsidR="00D20CF7">
              <w:rPr>
                <w:rFonts w:ascii="Arial" w:hAnsi="Arial" w:cs="Arial"/>
                <w:b/>
                <w:bCs/>
                <w:color w:val="000000" w:themeColor="text1"/>
                <w:sz w:val="18"/>
                <w:szCs w:val="18"/>
              </w:rPr>
              <w:t>5.00</w:t>
            </w:r>
          </w:p>
        </w:tc>
        <w:tc>
          <w:tcPr>
            <w:tcW w:w="1916" w:type="dxa"/>
            <w:shd w:val="clear" w:color="auto" w:fill="D9D9D9" w:themeFill="background1" w:themeFillShade="D9"/>
            <w:vAlign w:val="center"/>
          </w:tcPr>
          <w:p w14:paraId="7AE1541E" w14:textId="317B0844" w:rsidR="00193E59" w:rsidRPr="00275BE8" w:rsidRDefault="00193E59"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sidRPr="00275BE8">
              <w:rPr>
                <w:rFonts w:ascii="Arial" w:hAnsi="Arial" w:cs="Arial"/>
                <w:b/>
                <w:bCs/>
                <w:color w:val="000000" w:themeColor="text1"/>
                <w:sz w:val="18"/>
                <w:szCs w:val="18"/>
              </w:rPr>
              <w:t>+</w:t>
            </w:r>
            <w:r w:rsidR="00D20CF7">
              <w:rPr>
                <w:rFonts w:ascii="Arial" w:hAnsi="Arial" w:cs="Arial"/>
                <w:b/>
                <w:bCs/>
                <w:color w:val="000000" w:themeColor="text1"/>
                <w:sz w:val="18"/>
                <w:szCs w:val="18"/>
              </w:rPr>
              <w:t>3.2</w:t>
            </w:r>
            <w:r w:rsidRPr="00275BE8">
              <w:rPr>
                <w:rFonts w:ascii="Arial" w:hAnsi="Arial" w:cs="Arial"/>
                <w:b/>
                <w:bCs/>
                <w:color w:val="000000" w:themeColor="text1"/>
                <w:sz w:val="18"/>
                <w:szCs w:val="18"/>
              </w:rPr>
              <w:t>%</w:t>
            </w:r>
          </w:p>
        </w:tc>
        <w:tc>
          <w:tcPr>
            <w:tcW w:w="2276" w:type="dxa"/>
            <w:shd w:val="clear" w:color="auto" w:fill="D9D9D9" w:themeFill="background1" w:themeFillShade="D9"/>
            <w:vAlign w:val="center"/>
          </w:tcPr>
          <w:p w14:paraId="3164FA8F" w14:textId="473F152E" w:rsidR="00193E59" w:rsidRPr="00275BE8" w:rsidRDefault="00193E59"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sidRPr="00275BE8">
              <w:rPr>
                <w:rFonts w:ascii="Arial" w:hAnsi="Arial" w:cs="Arial"/>
                <w:b/>
                <w:bCs/>
                <w:color w:val="000000" w:themeColor="text1"/>
                <w:sz w:val="18"/>
                <w:szCs w:val="18"/>
              </w:rPr>
              <w:t>+</w:t>
            </w:r>
            <w:r w:rsidR="00D20CF7">
              <w:rPr>
                <w:rFonts w:ascii="Arial" w:hAnsi="Arial" w:cs="Arial"/>
                <w:b/>
                <w:bCs/>
                <w:color w:val="000000" w:themeColor="text1"/>
                <w:sz w:val="18"/>
                <w:szCs w:val="18"/>
              </w:rPr>
              <w:t>11.0</w:t>
            </w:r>
            <w:r w:rsidRPr="00275BE8">
              <w:rPr>
                <w:rFonts w:ascii="Arial" w:hAnsi="Arial" w:cs="Arial"/>
                <w:b/>
                <w:bCs/>
                <w:color w:val="000000" w:themeColor="text1"/>
                <w:sz w:val="18"/>
                <w:szCs w:val="18"/>
              </w:rPr>
              <w:t>%</w:t>
            </w:r>
          </w:p>
        </w:tc>
      </w:tr>
      <w:tr w:rsidR="00193E59" w:rsidRPr="00FA2467" w14:paraId="5EE5E6D3" w14:textId="77777777" w:rsidTr="00275BE8">
        <w:trPr>
          <w:trHeight w:val="144"/>
        </w:trPr>
        <w:tc>
          <w:tcPr>
            <w:cnfStyle w:val="001000000000" w:firstRow="0" w:lastRow="0" w:firstColumn="1" w:lastColumn="0" w:oddVBand="0" w:evenVBand="0" w:oddHBand="0" w:evenHBand="0" w:firstRowFirstColumn="0" w:firstRowLastColumn="0" w:lastRowFirstColumn="0" w:lastRowLastColumn="0"/>
            <w:tcW w:w="4500" w:type="dxa"/>
            <w:vAlign w:val="center"/>
          </w:tcPr>
          <w:p w14:paraId="687BE69F" w14:textId="4490EA7E" w:rsidR="00193E59" w:rsidRPr="00275BE8" w:rsidRDefault="00193E59" w:rsidP="00193E59">
            <w:pPr>
              <w:pStyle w:val="NoSpacing"/>
              <w:rPr>
                <w:rFonts w:ascii="Arial" w:hAnsi="Arial" w:cs="Arial"/>
                <w:b w:val="0"/>
                <w:bCs w:val="0"/>
                <w:color w:val="000000" w:themeColor="text1"/>
                <w:sz w:val="18"/>
                <w:szCs w:val="18"/>
              </w:rPr>
            </w:pPr>
            <w:r w:rsidRPr="00275BE8">
              <w:rPr>
                <w:rFonts w:ascii="Arial" w:hAnsi="Arial" w:cs="Arial"/>
                <w:b w:val="0"/>
                <w:bCs w:val="0"/>
                <w:color w:val="000000" w:themeColor="text1"/>
                <w:sz w:val="18"/>
                <w:szCs w:val="18"/>
              </w:rPr>
              <w:t xml:space="preserve">Total meat Latest 52 weeks </w:t>
            </w:r>
          </w:p>
        </w:tc>
        <w:tc>
          <w:tcPr>
            <w:tcW w:w="1568" w:type="dxa"/>
            <w:vAlign w:val="center"/>
          </w:tcPr>
          <w:p w14:paraId="744B4DE1" w14:textId="192186D9" w:rsidR="00193E59" w:rsidRPr="00275BE8" w:rsidRDefault="00193E59" w:rsidP="00193E5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75BE8">
              <w:rPr>
                <w:rFonts w:ascii="Arial" w:hAnsi="Arial" w:cs="Arial"/>
                <w:color w:val="000000" w:themeColor="text1"/>
                <w:sz w:val="18"/>
                <w:szCs w:val="18"/>
              </w:rPr>
              <w:t>$</w:t>
            </w:r>
            <w:r w:rsidR="00D20CF7">
              <w:rPr>
                <w:rFonts w:ascii="Arial" w:hAnsi="Arial" w:cs="Arial"/>
                <w:color w:val="000000" w:themeColor="text1"/>
                <w:sz w:val="18"/>
                <w:szCs w:val="18"/>
              </w:rPr>
              <w:t>4.77</w:t>
            </w:r>
          </w:p>
        </w:tc>
        <w:tc>
          <w:tcPr>
            <w:tcW w:w="1916" w:type="dxa"/>
            <w:vAlign w:val="center"/>
          </w:tcPr>
          <w:p w14:paraId="07F7B511" w14:textId="2951FF84" w:rsidR="00193E59" w:rsidRPr="00275BE8" w:rsidRDefault="00193E59" w:rsidP="00193E5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75BE8">
              <w:rPr>
                <w:rFonts w:ascii="Arial" w:hAnsi="Arial" w:cs="Arial"/>
                <w:color w:val="000000" w:themeColor="text1"/>
                <w:sz w:val="18"/>
                <w:szCs w:val="18"/>
              </w:rPr>
              <w:t>+</w:t>
            </w:r>
            <w:r w:rsidR="00D20CF7">
              <w:rPr>
                <w:rFonts w:ascii="Arial" w:hAnsi="Arial" w:cs="Arial"/>
                <w:color w:val="000000" w:themeColor="text1"/>
                <w:sz w:val="18"/>
                <w:szCs w:val="18"/>
              </w:rPr>
              <w:t>5.9</w:t>
            </w:r>
            <w:r w:rsidRPr="00275BE8">
              <w:rPr>
                <w:rFonts w:ascii="Arial" w:hAnsi="Arial" w:cs="Arial"/>
                <w:color w:val="000000" w:themeColor="text1"/>
                <w:sz w:val="18"/>
                <w:szCs w:val="18"/>
              </w:rPr>
              <w:t>%</w:t>
            </w:r>
          </w:p>
        </w:tc>
        <w:tc>
          <w:tcPr>
            <w:tcW w:w="2276" w:type="dxa"/>
            <w:vAlign w:val="center"/>
          </w:tcPr>
          <w:p w14:paraId="44E9F842" w14:textId="5AD604A2" w:rsidR="00193E59" w:rsidRPr="00275BE8" w:rsidRDefault="00193E59" w:rsidP="00193E5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75BE8">
              <w:rPr>
                <w:rFonts w:ascii="Arial" w:hAnsi="Arial" w:cs="Arial"/>
                <w:color w:val="000000" w:themeColor="text1"/>
                <w:sz w:val="18"/>
                <w:szCs w:val="18"/>
              </w:rPr>
              <w:t>+</w:t>
            </w:r>
            <w:r w:rsidR="00D20CF7">
              <w:rPr>
                <w:rFonts w:ascii="Arial" w:hAnsi="Arial" w:cs="Arial"/>
                <w:color w:val="000000" w:themeColor="text1"/>
                <w:sz w:val="18"/>
                <w:szCs w:val="18"/>
              </w:rPr>
              <w:t>12.3</w:t>
            </w:r>
            <w:r w:rsidRPr="00275BE8">
              <w:rPr>
                <w:rFonts w:ascii="Arial" w:hAnsi="Arial" w:cs="Arial"/>
                <w:color w:val="000000" w:themeColor="text1"/>
                <w:sz w:val="18"/>
                <w:szCs w:val="18"/>
              </w:rPr>
              <w:t>%</w:t>
            </w:r>
          </w:p>
        </w:tc>
      </w:tr>
      <w:tr w:rsidR="00193E59" w:rsidRPr="00FA2467" w14:paraId="18E69721" w14:textId="77777777" w:rsidTr="00275BE8">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500" w:type="dxa"/>
            <w:shd w:val="clear" w:color="auto" w:fill="D9D9D9" w:themeFill="background1" w:themeFillShade="D9"/>
            <w:vAlign w:val="center"/>
          </w:tcPr>
          <w:p w14:paraId="34D5073E" w14:textId="25DF3BF2" w:rsidR="00193E59" w:rsidRPr="00275BE8" w:rsidRDefault="00193E59" w:rsidP="00193E59">
            <w:pPr>
              <w:pStyle w:val="NoSpacing"/>
              <w:rPr>
                <w:rFonts w:ascii="Arial" w:hAnsi="Arial" w:cs="Arial"/>
                <w:color w:val="000000" w:themeColor="text1"/>
                <w:sz w:val="18"/>
                <w:szCs w:val="18"/>
              </w:rPr>
            </w:pPr>
            <w:r w:rsidRPr="00275BE8">
              <w:rPr>
                <w:rFonts w:ascii="Arial" w:hAnsi="Arial" w:cs="Arial"/>
                <w:color w:val="000000" w:themeColor="text1"/>
                <w:sz w:val="18"/>
                <w:szCs w:val="18"/>
              </w:rPr>
              <w:t xml:space="preserve">Fresh meat </w:t>
            </w:r>
            <w:r>
              <w:rPr>
                <w:rFonts w:ascii="Arial" w:hAnsi="Arial" w:cs="Arial"/>
                <w:color w:val="000000" w:themeColor="text1"/>
                <w:sz w:val="18"/>
                <w:szCs w:val="18"/>
              </w:rPr>
              <w:t>March</w:t>
            </w:r>
            <w:r w:rsidRPr="00275BE8">
              <w:rPr>
                <w:rFonts w:ascii="Arial" w:hAnsi="Arial" w:cs="Arial"/>
                <w:color w:val="000000" w:themeColor="text1"/>
                <w:sz w:val="18"/>
                <w:szCs w:val="18"/>
              </w:rPr>
              <w:t xml:space="preserve"> 2026</w:t>
            </w:r>
          </w:p>
        </w:tc>
        <w:tc>
          <w:tcPr>
            <w:tcW w:w="1568" w:type="dxa"/>
            <w:shd w:val="clear" w:color="auto" w:fill="D9D9D9" w:themeFill="background1" w:themeFillShade="D9"/>
            <w:vAlign w:val="center"/>
          </w:tcPr>
          <w:p w14:paraId="6B83A026" w14:textId="3149B1FE" w:rsidR="00193E59" w:rsidRPr="00275BE8" w:rsidRDefault="00193E59"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sidRPr="00275BE8">
              <w:rPr>
                <w:rFonts w:ascii="Arial" w:hAnsi="Arial" w:cs="Arial"/>
                <w:b/>
                <w:bCs/>
                <w:color w:val="000000" w:themeColor="text1"/>
                <w:sz w:val="18"/>
                <w:szCs w:val="18"/>
              </w:rPr>
              <w:t>$</w:t>
            </w:r>
            <w:r w:rsidR="00D20CF7">
              <w:rPr>
                <w:rFonts w:ascii="Arial" w:hAnsi="Arial" w:cs="Arial"/>
                <w:b/>
                <w:bCs/>
                <w:color w:val="000000" w:themeColor="text1"/>
                <w:sz w:val="18"/>
                <w:szCs w:val="18"/>
              </w:rPr>
              <w:t>4.96</w:t>
            </w:r>
          </w:p>
        </w:tc>
        <w:tc>
          <w:tcPr>
            <w:tcW w:w="1916" w:type="dxa"/>
            <w:shd w:val="clear" w:color="auto" w:fill="D9D9D9" w:themeFill="background1" w:themeFillShade="D9"/>
            <w:vAlign w:val="center"/>
          </w:tcPr>
          <w:p w14:paraId="33A3CEB6" w14:textId="585CAB87" w:rsidR="00193E59" w:rsidRPr="00275BE8" w:rsidRDefault="00193E59"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sidRPr="00275BE8">
              <w:rPr>
                <w:rFonts w:ascii="Arial" w:hAnsi="Arial" w:cs="Arial"/>
                <w:b/>
                <w:bCs/>
                <w:color w:val="000000" w:themeColor="text1"/>
                <w:sz w:val="18"/>
                <w:szCs w:val="18"/>
              </w:rPr>
              <w:t>+</w:t>
            </w:r>
            <w:r w:rsidR="00D20CF7">
              <w:rPr>
                <w:rFonts w:ascii="Arial" w:hAnsi="Arial" w:cs="Arial"/>
                <w:b/>
                <w:bCs/>
                <w:color w:val="000000" w:themeColor="text1"/>
                <w:sz w:val="18"/>
                <w:szCs w:val="18"/>
              </w:rPr>
              <w:t>5.1</w:t>
            </w:r>
            <w:r w:rsidRPr="00275BE8">
              <w:rPr>
                <w:rFonts w:ascii="Arial" w:hAnsi="Arial" w:cs="Arial"/>
                <w:b/>
                <w:bCs/>
                <w:color w:val="000000" w:themeColor="text1"/>
                <w:sz w:val="18"/>
                <w:szCs w:val="18"/>
              </w:rPr>
              <w:t>%</w:t>
            </w:r>
          </w:p>
        </w:tc>
        <w:tc>
          <w:tcPr>
            <w:tcW w:w="2276" w:type="dxa"/>
            <w:shd w:val="clear" w:color="auto" w:fill="D9D9D9" w:themeFill="background1" w:themeFillShade="D9"/>
            <w:vAlign w:val="center"/>
          </w:tcPr>
          <w:p w14:paraId="2E3DEE2A" w14:textId="4C53EEDE" w:rsidR="00193E59" w:rsidRPr="00275BE8" w:rsidRDefault="00193E59"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sidRPr="00275BE8">
              <w:rPr>
                <w:rFonts w:ascii="Arial" w:hAnsi="Arial" w:cs="Arial"/>
                <w:b/>
                <w:bCs/>
                <w:color w:val="000000" w:themeColor="text1"/>
                <w:sz w:val="18"/>
                <w:szCs w:val="18"/>
              </w:rPr>
              <w:t>+</w:t>
            </w:r>
            <w:r w:rsidR="00D20CF7">
              <w:rPr>
                <w:rFonts w:ascii="Arial" w:hAnsi="Arial" w:cs="Arial"/>
                <w:b/>
                <w:bCs/>
                <w:color w:val="000000" w:themeColor="text1"/>
                <w:sz w:val="18"/>
                <w:szCs w:val="18"/>
              </w:rPr>
              <w:t>14.9</w:t>
            </w:r>
            <w:r w:rsidRPr="00275BE8">
              <w:rPr>
                <w:rFonts w:ascii="Arial" w:hAnsi="Arial" w:cs="Arial"/>
                <w:b/>
                <w:bCs/>
                <w:color w:val="000000" w:themeColor="text1"/>
                <w:sz w:val="18"/>
                <w:szCs w:val="18"/>
              </w:rPr>
              <w:t>%</w:t>
            </w:r>
          </w:p>
        </w:tc>
      </w:tr>
      <w:tr w:rsidR="00193E59" w:rsidRPr="00FA2467" w14:paraId="0B920D1D" w14:textId="77777777" w:rsidTr="00275BE8">
        <w:trPr>
          <w:trHeight w:val="144"/>
        </w:trPr>
        <w:tc>
          <w:tcPr>
            <w:cnfStyle w:val="001000000000" w:firstRow="0" w:lastRow="0" w:firstColumn="1" w:lastColumn="0" w:oddVBand="0" w:evenVBand="0" w:oddHBand="0" w:evenHBand="0" w:firstRowFirstColumn="0" w:firstRowLastColumn="0" w:lastRowFirstColumn="0" w:lastRowLastColumn="0"/>
            <w:tcW w:w="4500" w:type="dxa"/>
            <w:vAlign w:val="center"/>
          </w:tcPr>
          <w:p w14:paraId="6140869B" w14:textId="7233C9A4" w:rsidR="00193E59" w:rsidRPr="00275BE8" w:rsidRDefault="00193E59" w:rsidP="00193E59">
            <w:pPr>
              <w:pStyle w:val="NoSpacing"/>
              <w:rPr>
                <w:rFonts w:ascii="Arial" w:hAnsi="Arial" w:cs="Arial"/>
                <w:b w:val="0"/>
                <w:bCs w:val="0"/>
                <w:color w:val="000000" w:themeColor="text1"/>
                <w:sz w:val="18"/>
                <w:szCs w:val="18"/>
              </w:rPr>
            </w:pPr>
            <w:r w:rsidRPr="00275BE8">
              <w:rPr>
                <w:rFonts w:ascii="Arial" w:hAnsi="Arial" w:cs="Arial"/>
                <w:b w:val="0"/>
                <w:bCs w:val="0"/>
                <w:color w:val="000000" w:themeColor="text1"/>
                <w:sz w:val="18"/>
                <w:szCs w:val="18"/>
              </w:rPr>
              <w:t xml:space="preserve"> Fresh meat Latest 52 weeks</w:t>
            </w:r>
          </w:p>
        </w:tc>
        <w:tc>
          <w:tcPr>
            <w:tcW w:w="1568" w:type="dxa"/>
            <w:vAlign w:val="center"/>
          </w:tcPr>
          <w:p w14:paraId="0378DC4D" w14:textId="1502C5D3" w:rsidR="00193E59" w:rsidRPr="00275BE8" w:rsidRDefault="00193E59" w:rsidP="00193E5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75BE8">
              <w:rPr>
                <w:rFonts w:ascii="Arial" w:hAnsi="Arial" w:cs="Arial"/>
                <w:color w:val="000000" w:themeColor="text1"/>
                <w:sz w:val="18"/>
                <w:szCs w:val="18"/>
              </w:rPr>
              <w:t>$</w:t>
            </w:r>
            <w:r w:rsidR="00D20CF7">
              <w:rPr>
                <w:rFonts w:ascii="Arial" w:hAnsi="Arial" w:cs="Arial"/>
                <w:color w:val="000000" w:themeColor="text1"/>
                <w:sz w:val="18"/>
                <w:szCs w:val="18"/>
              </w:rPr>
              <w:t>5.08</w:t>
            </w:r>
          </w:p>
        </w:tc>
        <w:tc>
          <w:tcPr>
            <w:tcW w:w="1916" w:type="dxa"/>
            <w:vAlign w:val="center"/>
          </w:tcPr>
          <w:p w14:paraId="4EA83057" w14:textId="7A7571EA" w:rsidR="00193E59" w:rsidRPr="00275BE8" w:rsidRDefault="00193E59" w:rsidP="00193E5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75BE8">
              <w:rPr>
                <w:rFonts w:ascii="Arial" w:hAnsi="Arial" w:cs="Arial"/>
                <w:color w:val="000000" w:themeColor="text1"/>
                <w:sz w:val="18"/>
                <w:szCs w:val="18"/>
              </w:rPr>
              <w:t>+</w:t>
            </w:r>
            <w:r w:rsidR="00D20CF7">
              <w:rPr>
                <w:rFonts w:ascii="Arial" w:hAnsi="Arial" w:cs="Arial"/>
                <w:color w:val="000000" w:themeColor="text1"/>
                <w:sz w:val="18"/>
                <w:szCs w:val="18"/>
              </w:rPr>
              <w:t>1.3</w:t>
            </w:r>
            <w:r w:rsidRPr="00275BE8">
              <w:rPr>
                <w:rFonts w:ascii="Arial" w:hAnsi="Arial" w:cs="Arial"/>
                <w:color w:val="000000" w:themeColor="text1"/>
                <w:sz w:val="18"/>
                <w:szCs w:val="18"/>
              </w:rPr>
              <w:t>%</w:t>
            </w:r>
          </w:p>
        </w:tc>
        <w:tc>
          <w:tcPr>
            <w:tcW w:w="2276" w:type="dxa"/>
            <w:vAlign w:val="center"/>
          </w:tcPr>
          <w:p w14:paraId="2553668E" w14:textId="14EC75DC" w:rsidR="00193E59" w:rsidRPr="00275BE8" w:rsidRDefault="00193E59" w:rsidP="00193E5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75BE8">
              <w:rPr>
                <w:rFonts w:ascii="Arial" w:hAnsi="Arial" w:cs="Arial"/>
                <w:color w:val="000000" w:themeColor="text1"/>
                <w:sz w:val="18"/>
                <w:szCs w:val="18"/>
              </w:rPr>
              <w:t>+</w:t>
            </w:r>
            <w:r w:rsidR="00D20CF7">
              <w:rPr>
                <w:rFonts w:ascii="Arial" w:hAnsi="Arial" w:cs="Arial"/>
                <w:color w:val="000000" w:themeColor="text1"/>
                <w:sz w:val="18"/>
                <w:szCs w:val="18"/>
              </w:rPr>
              <w:t>2.2</w:t>
            </w:r>
            <w:r w:rsidRPr="00275BE8">
              <w:rPr>
                <w:rFonts w:ascii="Arial" w:hAnsi="Arial" w:cs="Arial"/>
                <w:color w:val="000000" w:themeColor="text1"/>
                <w:sz w:val="18"/>
                <w:szCs w:val="18"/>
              </w:rPr>
              <w:t>%</w:t>
            </w:r>
          </w:p>
        </w:tc>
      </w:tr>
      <w:tr w:rsidR="00193E59" w:rsidRPr="00FA2467" w14:paraId="3EEE9FA8" w14:textId="77777777" w:rsidTr="00275BE8">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500" w:type="dxa"/>
            <w:shd w:val="clear" w:color="auto" w:fill="D9D9D9" w:themeFill="background1" w:themeFillShade="D9"/>
            <w:vAlign w:val="center"/>
          </w:tcPr>
          <w:p w14:paraId="7D0DB57F" w14:textId="53E79385" w:rsidR="00193E59" w:rsidRPr="00275BE8" w:rsidRDefault="00193E59" w:rsidP="00193E59">
            <w:pPr>
              <w:pStyle w:val="NoSpacing"/>
              <w:rPr>
                <w:rFonts w:ascii="Arial" w:hAnsi="Arial" w:cs="Arial"/>
                <w:color w:val="000000" w:themeColor="text1"/>
                <w:sz w:val="18"/>
                <w:szCs w:val="18"/>
              </w:rPr>
            </w:pPr>
            <w:r w:rsidRPr="00275BE8">
              <w:rPr>
                <w:rFonts w:ascii="Arial" w:hAnsi="Arial" w:cs="Arial"/>
                <w:color w:val="000000" w:themeColor="text1"/>
                <w:sz w:val="18"/>
                <w:szCs w:val="18"/>
              </w:rPr>
              <w:t xml:space="preserve">Processed meat </w:t>
            </w:r>
            <w:r>
              <w:rPr>
                <w:rFonts w:ascii="Arial" w:hAnsi="Arial" w:cs="Arial"/>
                <w:color w:val="000000" w:themeColor="text1"/>
                <w:sz w:val="18"/>
                <w:szCs w:val="18"/>
              </w:rPr>
              <w:t>March</w:t>
            </w:r>
            <w:r w:rsidRPr="00275BE8">
              <w:rPr>
                <w:rFonts w:ascii="Arial" w:hAnsi="Arial" w:cs="Arial"/>
                <w:color w:val="000000" w:themeColor="text1"/>
                <w:sz w:val="18"/>
                <w:szCs w:val="18"/>
              </w:rPr>
              <w:t xml:space="preserve"> 2026</w:t>
            </w:r>
          </w:p>
        </w:tc>
        <w:tc>
          <w:tcPr>
            <w:tcW w:w="1568" w:type="dxa"/>
            <w:shd w:val="clear" w:color="auto" w:fill="D9D9D9" w:themeFill="background1" w:themeFillShade="D9"/>
            <w:vAlign w:val="center"/>
          </w:tcPr>
          <w:p w14:paraId="11F8D089" w14:textId="6F37769C" w:rsidR="00193E59" w:rsidRPr="00275BE8" w:rsidRDefault="00193E59"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sidRPr="00275BE8">
              <w:rPr>
                <w:rFonts w:ascii="Arial" w:hAnsi="Arial" w:cs="Arial"/>
                <w:b/>
                <w:bCs/>
                <w:color w:val="000000" w:themeColor="text1"/>
                <w:sz w:val="18"/>
                <w:szCs w:val="18"/>
              </w:rPr>
              <w:t>$</w:t>
            </w:r>
            <w:r w:rsidR="00D20CF7">
              <w:rPr>
                <w:rFonts w:ascii="Arial" w:hAnsi="Arial" w:cs="Arial"/>
                <w:b/>
                <w:bCs/>
                <w:color w:val="000000" w:themeColor="text1"/>
                <w:sz w:val="18"/>
                <w:szCs w:val="18"/>
              </w:rPr>
              <w:t>5.11</w:t>
            </w:r>
          </w:p>
        </w:tc>
        <w:tc>
          <w:tcPr>
            <w:tcW w:w="1916" w:type="dxa"/>
            <w:shd w:val="clear" w:color="auto" w:fill="D9D9D9" w:themeFill="background1" w:themeFillShade="D9"/>
            <w:vAlign w:val="center"/>
          </w:tcPr>
          <w:p w14:paraId="1164D3F1" w14:textId="065C47A0" w:rsidR="00193E59" w:rsidRPr="00275BE8" w:rsidRDefault="00D20CF7"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themeColor="text1"/>
                <w:sz w:val="18"/>
                <w:szCs w:val="18"/>
              </w:rPr>
              <w:t>-1.8</w:t>
            </w:r>
            <w:r w:rsidR="00193E59" w:rsidRPr="00275BE8">
              <w:rPr>
                <w:rFonts w:ascii="Arial" w:hAnsi="Arial" w:cs="Arial"/>
                <w:b/>
                <w:bCs/>
                <w:color w:val="000000" w:themeColor="text1"/>
                <w:sz w:val="18"/>
                <w:szCs w:val="18"/>
              </w:rPr>
              <w:t>%</w:t>
            </w:r>
          </w:p>
        </w:tc>
        <w:tc>
          <w:tcPr>
            <w:tcW w:w="2276" w:type="dxa"/>
            <w:shd w:val="clear" w:color="auto" w:fill="D9D9D9" w:themeFill="background1" w:themeFillShade="D9"/>
            <w:vAlign w:val="center"/>
          </w:tcPr>
          <w:p w14:paraId="6423728E" w14:textId="0808447D" w:rsidR="00193E59" w:rsidRPr="00275BE8" w:rsidRDefault="00193E59"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sidRPr="00275BE8">
              <w:rPr>
                <w:rFonts w:ascii="Arial" w:hAnsi="Arial" w:cs="Arial"/>
                <w:b/>
                <w:bCs/>
                <w:color w:val="000000" w:themeColor="text1"/>
                <w:sz w:val="18"/>
                <w:szCs w:val="18"/>
              </w:rPr>
              <w:t>+</w:t>
            </w:r>
            <w:r w:rsidR="00D20CF7">
              <w:rPr>
                <w:rFonts w:ascii="Arial" w:hAnsi="Arial" w:cs="Arial"/>
                <w:b/>
                <w:bCs/>
                <w:color w:val="000000" w:themeColor="text1"/>
                <w:sz w:val="18"/>
                <w:szCs w:val="18"/>
              </w:rPr>
              <w:t>3.0</w:t>
            </w:r>
            <w:r w:rsidRPr="00275BE8">
              <w:rPr>
                <w:rFonts w:ascii="Arial" w:hAnsi="Arial" w:cs="Arial"/>
                <w:b/>
                <w:bCs/>
                <w:color w:val="000000" w:themeColor="text1"/>
                <w:sz w:val="18"/>
                <w:szCs w:val="18"/>
              </w:rPr>
              <w:t>%</w:t>
            </w:r>
          </w:p>
        </w:tc>
      </w:tr>
      <w:tr w:rsidR="00193E59" w:rsidRPr="00FA2467" w14:paraId="1B87A5BB" w14:textId="77777777" w:rsidTr="00275BE8">
        <w:trPr>
          <w:trHeight w:val="144"/>
        </w:trPr>
        <w:tc>
          <w:tcPr>
            <w:cnfStyle w:val="001000000000" w:firstRow="0" w:lastRow="0" w:firstColumn="1" w:lastColumn="0" w:oddVBand="0" w:evenVBand="0" w:oddHBand="0" w:evenHBand="0" w:firstRowFirstColumn="0" w:firstRowLastColumn="0" w:lastRowFirstColumn="0" w:lastRowLastColumn="0"/>
            <w:tcW w:w="4500" w:type="dxa"/>
            <w:vAlign w:val="center"/>
          </w:tcPr>
          <w:p w14:paraId="636FC35A" w14:textId="4981FF6E" w:rsidR="00193E59" w:rsidRPr="00275BE8" w:rsidRDefault="00193E59" w:rsidP="00193E59">
            <w:pPr>
              <w:pStyle w:val="NoSpacing"/>
              <w:rPr>
                <w:rFonts w:ascii="Arial" w:hAnsi="Arial" w:cs="Arial"/>
                <w:b w:val="0"/>
                <w:bCs w:val="0"/>
                <w:color w:val="000000" w:themeColor="text1"/>
                <w:sz w:val="18"/>
                <w:szCs w:val="18"/>
              </w:rPr>
            </w:pPr>
            <w:r w:rsidRPr="00275BE8">
              <w:rPr>
                <w:rFonts w:ascii="Arial" w:hAnsi="Arial" w:cs="Arial"/>
                <w:b w:val="0"/>
                <w:bCs w:val="0"/>
                <w:color w:val="000000" w:themeColor="text1"/>
                <w:sz w:val="18"/>
                <w:szCs w:val="18"/>
              </w:rPr>
              <w:t xml:space="preserve"> Processed meat Latest 52 weeks</w:t>
            </w:r>
          </w:p>
        </w:tc>
        <w:tc>
          <w:tcPr>
            <w:tcW w:w="1568" w:type="dxa"/>
            <w:vAlign w:val="center"/>
          </w:tcPr>
          <w:p w14:paraId="51A62CEF" w14:textId="6E7DB14C" w:rsidR="00193E59" w:rsidRPr="00275BE8" w:rsidRDefault="00193E59" w:rsidP="00193E5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75BE8">
              <w:rPr>
                <w:rFonts w:ascii="Arial" w:hAnsi="Arial" w:cs="Arial"/>
                <w:color w:val="000000" w:themeColor="text1"/>
                <w:sz w:val="18"/>
                <w:szCs w:val="18"/>
              </w:rPr>
              <w:t>$</w:t>
            </w:r>
            <w:r w:rsidR="00D20CF7">
              <w:rPr>
                <w:rFonts w:ascii="Arial" w:hAnsi="Arial" w:cs="Arial"/>
                <w:color w:val="000000" w:themeColor="text1"/>
                <w:sz w:val="18"/>
                <w:szCs w:val="18"/>
              </w:rPr>
              <w:t>4.85</w:t>
            </w:r>
          </w:p>
        </w:tc>
        <w:tc>
          <w:tcPr>
            <w:tcW w:w="1916" w:type="dxa"/>
            <w:vAlign w:val="center"/>
          </w:tcPr>
          <w:p w14:paraId="6F16B379" w14:textId="3721A3F3" w:rsidR="00193E59" w:rsidRPr="00275BE8" w:rsidRDefault="00193E59" w:rsidP="00193E5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75BE8">
              <w:rPr>
                <w:rFonts w:ascii="Arial" w:hAnsi="Arial" w:cs="Arial"/>
                <w:color w:val="000000" w:themeColor="text1"/>
                <w:sz w:val="18"/>
                <w:szCs w:val="18"/>
              </w:rPr>
              <w:t>+</w:t>
            </w:r>
            <w:r w:rsidR="00D20CF7">
              <w:rPr>
                <w:rFonts w:ascii="Arial" w:hAnsi="Arial" w:cs="Arial"/>
                <w:color w:val="000000" w:themeColor="text1"/>
                <w:sz w:val="18"/>
                <w:szCs w:val="18"/>
              </w:rPr>
              <w:t>4.5</w:t>
            </w:r>
            <w:r w:rsidRPr="00275BE8">
              <w:rPr>
                <w:rFonts w:ascii="Arial" w:hAnsi="Arial" w:cs="Arial"/>
                <w:color w:val="000000" w:themeColor="text1"/>
                <w:sz w:val="18"/>
                <w:szCs w:val="18"/>
              </w:rPr>
              <w:t>%</w:t>
            </w:r>
          </w:p>
        </w:tc>
        <w:tc>
          <w:tcPr>
            <w:tcW w:w="2276" w:type="dxa"/>
            <w:vAlign w:val="center"/>
          </w:tcPr>
          <w:p w14:paraId="54F02350" w14:textId="0A5DC3EB" w:rsidR="00193E59" w:rsidRPr="00275BE8" w:rsidRDefault="00193E59" w:rsidP="00193E5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75BE8">
              <w:rPr>
                <w:rFonts w:ascii="Arial" w:hAnsi="Arial" w:cs="Arial"/>
                <w:color w:val="000000" w:themeColor="text1"/>
                <w:sz w:val="18"/>
                <w:szCs w:val="18"/>
              </w:rPr>
              <w:t>+</w:t>
            </w:r>
            <w:r w:rsidR="00D20CF7">
              <w:rPr>
                <w:rFonts w:ascii="Arial" w:hAnsi="Arial" w:cs="Arial"/>
                <w:color w:val="000000" w:themeColor="text1"/>
                <w:sz w:val="18"/>
                <w:szCs w:val="18"/>
              </w:rPr>
              <w:t>8.9</w:t>
            </w:r>
            <w:r w:rsidRPr="00275BE8">
              <w:rPr>
                <w:rFonts w:ascii="Arial" w:hAnsi="Arial" w:cs="Arial"/>
                <w:color w:val="000000" w:themeColor="text1"/>
                <w:sz w:val="18"/>
                <w:szCs w:val="18"/>
              </w:rPr>
              <w:t>%</w:t>
            </w:r>
          </w:p>
        </w:tc>
      </w:tr>
    </w:tbl>
    <w:p w14:paraId="3DEDBF77" w14:textId="6503C191" w:rsidR="003C65CF" w:rsidRPr="00FA2467" w:rsidRDefault="003C65CF" w:rsidP="003C65CF">
      <w:pPr>
        <w:pStyle w:val="NoSpacing"/>
        <w:rPr>
          <w:rFonts w:ascii="Arial" w:hAnsi="Arial" w:cs="Arial"/>
          <w:sz w:val="6"/>
          <w:szCs w:val="6"/>
        </w:rPr>
      </w:pPr>
    </w:p>
    <w:p w14:paraId="0BEBC3C9" w14:textId="4C1593B1" w:rsidR="009A49BE" w:rsidRDefault="003C65CF" w:rsidP="009A49BE">
      <w:pPr>
        <w:pStyle w:val="NoSpacing"/>
        <w:rPr>
          <w:rFonts w:ascii="Arial" w:hAnsi="Arial" w:cs="Arial"/>
          <w:color w:val="7F7F7F" w:themeColor="text1" w:themeTint="80"/>
          <w:sz w:val="16"/>
          <w:szCs w:val="16"/>
        </w:rPr>
      </w:pPr>
      <w:r w:rsidRPr="00FA2467">
        <w:rPr>
          <w:rFonts w:ascii="Arial" w:hAnsi="Arial" w:cs="Arial"/>
          <w:color w:val="7F7F7F" w:themeColor="text1" w:themeTint="80"/>
          <w:sz w:val="16"/>
          <w:szCs w:val="16"/>
        </w:rPr>
        <w:lastRenderedPageBreak/>
        <w:t xml:space="preserve">Source: </w:t>
      </w:r>
      <w:r w:rsidR="00FB48FE" w:rsidRPr="00FA2467">
        <w:rPr>
          <w:rFonts w:ascii="Arial" w:hAnsi="Arial" w:cs="Arial"/>
          <w:color w:val="7F7F7F" w:themeColor="text1" w:themeTint="80"/>
          <w:sz w:val="16"/>
          <w:szCs w:val="16"/>
        </w:rPr>
        <w:t>Circana</w:t>
      </w:r>
      <w:r w:rsidRPr="00FA2467">
        <w:rPr>
          <w:rFonts w:ascii="Arial" w:hAnsi="Arial" w:cs="Arial"/>
          <w:color w:val="7F7F7F" w:themeColor="text1" w:themeTint="80"/>
          <w:sz w:val="16"/>
          <w:szCs w:val="16"/>
        </w:rPr>
        <w:t xml:space="preserve">, Integrated Fresh, Total US, </w:t>
      </w:r>
      <w:r w:rsidR="00D85BA4" w:rsidRPr="00FA2467">
        <w:rPr>
          <w:rFonts w:ascii="Arial" w:hAnsi="Arial" w:cs="Arial"/>
          <w:color w:val="7F7F7F" w:themeColor="text1" w:themeTint="80"/>
          <w:sz w:val="16"/>
          <w:szCs w:val="16"/>
        </w:rPr>
        <w:t>MULO+</w:t>
      </w:r>
    </w:p>
    <w:p w14:paraId="72CFC437" w14:textId="77777777" w:rsidR="009A49BE" w:rsidRPr="009A49BE" w:rsidRDefault="009A49BE" w:rsidP="009A49BE">
      <w:pPr>
        <w:pStyle w:val="NoSpacing"/>
        <w:rPr>
          <w:rFonts w:ascii="Arial" w:hAnsi="Arial" w:cs="Arial"/>
          <w:color w:val="7F7F7F" w:themeColor="text1" w:themeTint="80"/>
          <w:sz w:val="16"/>
          <w:szCs w:val="16"/>
        </w:rPr>
      </w:pPr>
    </w:p>
    <w:p w14:paraId="2504AC37" w14:textId="2E6A9E29" w:rsidR="00C771BB" w:rsidRDefault="001D2B3D" w:rsidP="00007750">
      <w:pPr>
        <w:pStyle w:val="NoSpacing"/>
        <w:rPr>
          <w:rFonts w:ascii="Arial" w:hAnsi="Arial" w:cs="Arial"/>
          <w:sz w:val="20"/>
          <w:szCs w:val="20"/>
        </w:rPr>
      </w:pPr>
      <w:r>
        <w:rPr>
          <w:rFonts w:ascii="Arial" w:hAnsi="Arial" w:cs="Arial"/>
          <w:sz w:val="20"/>
          <w:szCs w:val="20"/>
        </w:rPr>
        <w:t>Fresh meat inflation was predominantly driven by</w:t>
      </w:r>
      <w:r w:rsidR="00931616">
        <w:rPr>
          <w:rFonts w:ascii="Arial" w:hAnsi="Arial" w:cs="Arial"/>
          <w:sz w:val="20"/>
          <w:szCs w:val="20"/>
        </w:rPr>
        <w:t xml:space="preserve"> </w:t>
      </w:r>
      <w:r>
        <w:rPr>
          <w:rFonts w:ascii="Arial" w:hAnsi="Arial" w:cs="Arial"/>
          <w:sz w:val="20"/>
          <w:szCs w:val="20"/>
        </w:rPr>
        <w:t>turkey</w:t>
      </w:r>
      <w:r w:rsidR="00275BE8">
        <w:rPr>
          <w:rFonts w:ascii="Arial" w:hAnsi="Arial" w:cs="Arial"/>
          <w:sz w:val="20"/>
          <w:szCs w:val="20"/>
        </w:rPr>
        <w:t>, exotic (including bison)</w:t>
      </w:r>
      <w:r>
        <w:rPr>
          <w:rFonts w:ascii="Arial" w:hAnsi="Arial" w:cs="Arial"/>
          <w:sz w:val="20"/>
          <w:szCs w:val="20"/>
        </w:rPr>
        <w:t xml:space="preserve"> and lamb</w:t>
      </w:r>
      <w:r w:rsidR="00931616">
        <w:rPr>
          <w:rFonts w:ascii="Arial" w:hAnsi="Arial" w:cs="Arial"/>
          <w:sz w:val="20"/>
          <w:szCs w:val="20"/>
        </w:rPr>
        <w:t>, followed by beef</w:t>
      </w:r>
      <w:r>
        <w:rPr>
          <w:rFonts w:ascii="Arial" w:hAnsi="Arial" w:cs="Arial"/>
          <w:sz w:val="20"/>
          <w:szCs w:val="20"/>
        </w:rPr>
        <w:t xml:space="preserve">. The average price per pound for lamb rose </w:t>
      </w:r>
      <w:r w:rsidR="00193E59">
        <w:rPr>
          <w:rFonts w:ascii="Arial" w:hAnsi="Arial" w:cs="Arial"/>
          <w:sz w:val="20"/>
          <w:szCs w:val="20"/>
        </w:rPr>
        <w:t>to nearly $</w:t>
      </w:r>
      <w:r w:rsidR="00EE3400">
        <w:rPr>
          <w:rFonts w:ascii="Arial" w:hAnsi="Arial" w:cs="Arial"/>
          <w:sz w:val="20"/>
          <w:szCs w:val="20"/>
        </w:rPr>
        <w:t>9.21</w:t>
      </w:r>
      <w:r w:rsidR="000D7CB9">
        <w:rPr>
          <w:rFonts w:ascii="Arial" w:hAnsi="Arial" w:cs="Arial"/>
          <w:sz w:val="20"/>
          <w:szCs w:val="20"/>
        </w:rPr>
        <w:t>, whereas beef averaged $</w:t>
      </w:r>
      <w:r w:rsidR="00EE3400">
        <w:rPr>
          <w:rFonts w:ascii="Arial" w:hAnsi="Arial" w:cs="Arial"/>
          <w:sz w:val="20"/>
          <w:szCs w:val="20"/>
        </w:rPr>
        <w:t>7.14</w:t>
      </w:r>
      <w:r>
        <w:rPr>
          <w:rFonts w:ascii="Arial" w:hAnsi="Arial" w:cs="Arial"/>
          <w:sz w:val="20"/>
          <w:szCs w:val="20"/>
        </w:rPr>
        <w:t xml:space="preserve"> across all cuts. On the processed meat side, </w:t>
      </w:r>
      <w:r w:rsidR="00433655">
        <w:rPr>
          <w:rFonts w:ascii="Arial" w:hAnsi="Arial" w:cs="Arial"/>
          <w:sz w:val="20"/>
          <w:szCs w:val="20"/>
        </w:rPr>
        <w:t>de</w:t>
      </w:r>
      <w:r>
        <w:rPr>
          <w:rFonts w:ascii="Arial" w:hAnsi="Arial" w:cs="Arial"/>
          <w:sz w:val="20"/>
          <w:szCs w:val="20"/>
        </w:rPr>
        <w:t xml:space="preserve">flation was </w:t>
      </w:r>
      <w:r w:rsidR="00F424B1">
        <w:rPr>
          <w:rFonts w:ascii="Arial" w:hAnsi="Arial" w:cs="Arial"/>
          <w:sz w:val="20"/>
          <w:szCs w:val="20"/>
        </w:rPr>
        <w:t>driven by</w:t>
      </w:r>
      <w:r w:rsidR="00433655">
        <w:rPr>
          <w:rFonts w:ascii="Arial" w:hAnsi="Arial" w:cs="Arial"/>
          <w:sz w:val="20"/>
          <w:szCs w:val="20"/>
        </w:rPr>
        <w:t xml:space="preserve"> a 29.2% decrease in smoked ham prices with earlier Easter-related promotions</w:t>
      </w:r>
      <w:r w:rsidR="00F424B1">
        <w:rPr>
          <w:rFonts w:ascii="Arial" w:hAnsi="Arial" w:cs="Arial"/>
          <w:sz w:val="20"/>
          <w:szCs w:val="20"/>
        </w:rPr>
        <w:t xml:space="preserve">. </w:t>
      </w:r>
      <w:r w:rsidR="00007750" w:rsidRPr="00007750">
        <w:rPr>
          <w:rFonts w:ascii="Arial" w:hAnsi="Arial" w:cs="Arial"/>
          <w:sz w:val="20"/>
          <w:szCs w:val="20"/>
        </w:rPr>
        <w:t xml:space="preserve"> </w:t>
      </w:r>
      <w:r w:rsidR="000C22CA" w:rsidRPr="00007750">
        <w:rPr>
          <w:rFonts w:ascii="Arial" w:hAnsi="Arial" w:cs="Arial"/>
          <w:sz w:val="20"/>
          <w:szCs w:val="20"/>
        </w:rPr>
        <w:t xml:space="preserve"> </w:t>
      </w:r>
    </w:p>
    <w:p w14:paraId="575B5A38" w14:textId="77777777" w:rsidR="00007750" w:rsidRPr="00007750" w:rsidRDefault="00007750" w:rsidP="00007750">
      <w:pPr>
        <w:pStyle w:val="NoSpacing"/>
        <w:rPr>
          <w:rFonts w:ascii="Arial" w:hAnsi="Arial" w:cs="Arial"/>
          <w:sz w:val="20"/>
          <w:szCs w:val="20"/>
        </w:rPr>
      </w:pPr>
    </w:p>
    <w:tbl>
      <w:tblPr>
        <w:tblStyle w:val="LightShading-Accent5"/>
        <w:tblW w:w="10206" w:type="dxa"/>
        <w:tblBorders>
          <w:top w:val="none" w:sz="0" w:space="0" w:color="auto"/>
          <w:bottom w:val="none" w:sz="0" w:space="0" w:color="auto"/>
        </w:tblBorders>
        <w:tblLayout w:type="fixed"/>
        <w:tblLook w:val="04A0" w:firstRow="1" w:lastRow="0" w:firstColumn="1" w:lastColumn="0" w:noHBand="0" w:noVBand="1"/>
      </w:tblPr>
      <w:tblGrid>
        <w:gridCol w:w="2520"/>
        <w:gridCol w:w="990"/>
        <w:gridCol w:w="1800"/>
        <w:gridCol w:w="2160"/>
        <w:gridCol w:w="1087"/>
        <w:gridCol w:w="1649"/>
      </w:tblGrid>
      <w:tr w:rsidR="00F10E39" w:rsidRPr="003C245B" w14:paraId="46707496" w14:textId="03010C93" w:rsidTr="00193E59">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520" w:type="dxa"/>
            <w:tcBorders>
              <w:top w:val="none" w:sz="0" w:space="0" w:color="auto"/>
              <w:bottom w:val="none" w:sz="0" w:space="0" w:color="auto"/>
            </w:tcBorders>
            <w:shd w:val="clear" w:color="auto" w:fill="17365D" w:themeFill="text2" w:themeFillShade="BF"/>
            <w:vAlign w:val="center"/>
          </w:tcPr>
          <w:p w14:paraId="20D1E7FB" w14:textId="5B1E78A8" w:rsidR="00F10E39" w:rsidRPr="00182993" w:rsidRDefault="00193E59" w:rsidP="00A27621">
            <w:pPr>
              <w:pStyle w:val="NoSpacing"/>
              <w:rPr>
                <w:rFonts w:ascii="Arial" w:hAnsi="Arial" w:cs="Arial"/>
                <w:color w:val="FFFFFF" w:themeColor="background1"/>
                <w:sz w:val="20"/>
                <w:szCs w:val="20"/>
              </w:rPr>
            </w:pPr>
            <w:bookmarkStart w:id="6" w:name="_Hlk102723196"/>
            <w:r>
              <w:rPr>
                <w:rFonts w:ascii="Arial" w:hAnsi="Arial" w:cs="Arial"/>
                <w:color w:val="FFFFFF" w:themeColor="background1"/>
                <w:sz w:val="18"/>
                <w:szCs w:val="20"/>
              </w:rPr>
              <w:t>March</w:t>
            </w:r>
            <w:r w:rsidR="00620B53" w:rsidRPr="007C5A37">
              <w:rPr>
                <w:rFonts w:ascii="Arial" w:hAnsi="Arial" w:cs="Arial"/>
                <w:color w:val="FFFFFF" w:themeColor="background1"/>
                <w:sz w:val="18"/>
                <w:szCs w:val="20"/>
              </w:rPr>
              <w:t xml:space="preserve"> </w:t>
            </w:r>
            <w:r w:rsidR="000D7CB9">
              <w:rPr>
                <w:rFonts w:ascii="Arial" w:hAnsi="Arial" w:cs="Arial"/>
                <w:color w:val="FFFFFF" w:themeColor="background1"/>
                <w:sz w:val="18"/>
                <w:szCs w:val="20"/>
              </w:rPr>
              <w:t>2026</w:t>
            </w:r>
          </w:p>
        </w:tc>
        <w:tc>
          <w:tcPr>
            <w:tcW w:w="990" w:type="dxa"/>
            <w:tcBorders>
              <w:top w:val="none" w:sz="0" w:space="0" w:color="auto"/>
              <w:bottom w:val="none" w:sz="0" w:space="0" w:color="auto"/>
            </w:tcBorders>
            <w:shd w:val="clear" w:color="auto" w:fill="17365D" w:themeFill="text2" w:themeFillShade="BF"/>
            <w:vAlign w:val="center"/>
          </w:tcPr>
          <w:p w14:paraId="2FBD3E48" w14:textId="77777777" w:rsidR="00F10E39" w:rsidRPr="006F4A83" w:rsidRDefault="00F10E39" w:rsidP="00F10E39">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6F4A83">
              <w:rPr>
                <w:rFonts w:ascii="Arial" w:hAnsi="Arial" w:cs="Arial"/>
                <w:color w:val="FFFFFF" w:themeColor="background1"/>
                <w:sz w:val="18"/>
                <w:szCs w:val="18"/>
              </w:rPr>
              <w:t>Price/lbs</w:t>
            </w:r>
          </w:p>
        </w:tc>
        <w:tc>
          <w:tcPr>
            <w:tcW w:w="1800" w:type="dxa"/>
            <w:tcBorders>
              <w:top w:val="none" w:sz="0" w:space="0" w:color="auto"/>
              <w:bottom w:val="none" w:sz="0" w:space="0" w:color="auto"/>
            </w:tcBorders>
            <w:shd w:val="clear" w:color="auto" w:fill="17365D" w:themeFill="text2" w:themeFillShade="BF"/>
            <w:vAlign w:val="center"/>
          </w:tcPr>
          <w:p w14:paraId="0A0B2F8B" w14:textId="77777777" w:rsidR="00F10E39" w:rsidRPr="006F4A83" w:rsidRDefault="00F10E39" w:rsidP="00F10E39">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6F4A83">
              <w:rPr>
                <w:rFonts w:ascii="Arial" w:hAnsi="Arial" w:cs="Arial"/>
                <w:color w:val="FFFFFF" w:themeColor="background1"/>
                <w:sz w:val="18"/>
                <w:szCs w:val="18"/>
              </w:rPr>
              <w:t>Change vs. YA</w:t>
            </w:r>
          </w:p>
        </w:tc>
        <w:tc>
          <w:tcPr>
            <w:tcW w:w="2160" w:type="dxa"/>
            <w:tcBorders>
              <w:top w:val="none" w:sz="0" w:space="0" w:color="auto"/>
              <w:bottom w:val="none" w:sz="0" w:space="0" w:color="auto"/>
            </w:tcBorders>
            <w:shd w:val="clear" w:color="auto" w:fill="17365D" w:themeFill="text2" w:themeFillShade="BF"/>
            <w:vAlign w:val="center"/>
          </w:tcPr>
          <w:p w14:paraId="5A4C2078" w14:textId="5F810CFB" w:rsidR="00F10E39" w:rsidRPr="006F4A83" w:rsidRDefault="000D7CB9" w:rsidP="00A27621">
            <w:pP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c>
          <w:tcPr>
            <w:tcW w:w="1087" w:type="dxa"/>
            <w:tcBorders>
              <w:top w:val="none" w:sz="0" w:space="0" w:color="auto"/>
              <w:bottom w:val="none" w:sz="0" w:space="0" w:color="auto"/>
            </w:tcBorders>
            <w:shd w:val="clear" w:color="auto" w:fill="17365D" w:themeFill="text2" w:themeFillShade="BF"/>
            <w:vAlign w:val="center"/>
          </w:tcPr>
          <w:p w14:paraId="358676DC" w14:textId="08251044" w:rsidR="00F10E39" w:rsidRPr="006F4A83" w:rsidRDefault="00F10E39" w:rsidP="00F10E39">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6F4A83">
              <w:rPr>
                <w:rFonts w:ascii="Arial" w:hAnsi="Arial" w:cs="Arial"/>
                <w:color w:val="FFFFFF" w:themeColor="background1"/>
                <w:sz w:val="18"/>
                <w:szCs w:val="18"/>
              </w:rPr>
              <w:t>Price/lbs</w:t>
            </w:r>
          </w:p>
        </w:tc>
        <w:tc>
          <w:tcPr>
            <w:tcW w:w="1649" w:type="dxa"/>
            <w:tcBorders>
              <w:top w:val="none" w:sz="0" w:space="0" w:color="auto"/>
              <w:bottom w:val="none" w:sz="0" w:space="0" w:color="auto"/>
            </w:tcBorders>
            <w:shd w:val="clear" w:color="auto" w:fill="17365D" w:themeFill="text2" w:themeFillShade="BF"/>
            <w:vAlign w:val="center"/>
          </w:tcPr>
          <w:p w14:paraId="028AA98C" w14:textId="10EDB77B" w:rsidR="00F10E39" w:rsidRPr="006F4A83" w:rsidRDefault="00F10E39" w:rsidP="00F10E39">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6F4A83">
              <w:rPr>
                <w:rFonts w:ascii="Arial" w:hAnsi="Arial" w:cs="Arial"/>
                <w:color w:val="FFFFFF" w:themeColor="background1"/>
                <w:sz w:val="18"/>
                <w:szCs w:val="18"/>
              </w:rPr>
              <w:t>Change vs. YA</w:t>
            </w:r>
          </w:p>
        </w:tc>
      </w:tr>
      <w:tr w:rsidR="00193E59" w:rsidRPr="00C267F7" w14:paraId="283F595F" w14:textId="1C970840" w:rsidTr="00193E5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20" w:type="dxa"/>
            <w:shd w:val="clear" w:color="auto" w:fill="D9D9D9" w:themeFill="background1" w:themeFillShade="D9"/>
            <w:vAlign w:val="center"/>
          </w:tcPr>
          <w:p w14:paraId="6335722F" w14:textId="2C02950A" w:rsidR="00193E59" w:rsidRPr="00F63B3F" w:rsidRDefault="00193E59" w:rsidP="00193E59">
            <w:pPr>
              <w:pStyle w:val="NoSpacing"/>
              <w:ind w:left="67"/>
              <w:rPr>
                <w:rFonts w:ascii="Arial" w:hAnsi="Arial" w:cs="Arial"/>
                <w:b w:val="0"/>
                <w:color w:val="000000" w:themeColor="text1"/>
                <w:sz w:val="18"/>
                <w:szCs w:val="18"/>
              </w:rPr>
            </w:pPr>
            <w:r w:rsidRPr="00F63B3F">
              <w:rPr>
                <w:rFonts w:ascii="Arial" w:hAnsi="Arial" w:cs="Arial"/>
                <w:b w:val="0"/>
                <w:color w:val="000000" w:themeColor="text1"/>
                <w:sz w:val="18"/>
                <w:szCs w:val="18"/>
              </w:rPr>
              <w:t>Fresh beef</w:t>
            </w:r>
          </w:p>
        </w:tc>
        <w:tc>
          <w:tcPr>
            <w:tcW w:w="990" w:type="dxa"/>
            <w:shd w:val="clear" w:color="auto" w:fill="D9D9D9" w:themeFill="background1" w:themeFillShade="D9"/>
          </w:tcPr>
          <w:p w14:paraId="146A7129" w14:textId="136F0B1C" w:rsidR="00193E59" w:rsidRPr="006F4A83" w:rsidRDefault="00193E59"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C127EF">
              <w:rPr>
                <w:rFonts w:ascii="Arial" w:hAnsi="Arial" w:cs="Arial"/>
                <w:color w:val="000000"/>
                <w:sz w:val="18"/>
                <w:szCs w:val="18"/>
              </w:rPr>
              <w:t>$</w:t>
            </w:r>
            <w:r w:rsidR="0077039D">
              <w:rPr>
                <w:rFonts w:ascii="Arial" w:hAnsi="Arial" w:cs="Arial"/>
                <w:color w:val="000000"/>
                <w:sz w:val="18"/>
                <w:szCs w:val="18"/>
              </w:rPr>
              <w:t>7.14</w:t>
            </w:r>
          </w:p>
        </w:tc>
        <w:tc>
          <w:tcPr>
            <w:tcW w:w="1800" w:type="dxa"/>
            <w:tcBorders>
              <w:right w:val="single" w:sz="4" w:space="0" w:color="31849B" w:themeColor="accent5" w:themeShade="BF"/>
            </w:tcBorders>
            <w:shd w:val="clear" w:color="auto" w:fill="D9D9D9" w:themeFill="background1" w:themeFillShade="D9"/>
          </w:tcPr>
          <w:p w14:paraId="5283DD94" w14:textId="2A431460" w:rsidR="00193E59" w:rsidRPr="006F4A83" w:rsidRDefault="00193E59"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DF314A">
              <w:rPr>
                <w:rFonts w:ascii="Arial" w:hAnsi="Arial" w:cs="Arial"/>
                <w:color w:val="000000"/>
                <w:sz w:val="18"/>
                <w:szCs w:val="18"/>
              </w:rPr>
              <w:t>+</w:t>
            </w:r>
            <w:r w:rsidR="0077039D">
              <w:rPr>
                <w:rFonts w:ascii="Arial" w:hAnsi="Arial" w:cs="Arial"/>
                <w:color w:val="000000"/>
                <w:sz w:val="18"/>
                <w:szCs w:val="18"/>
              </w:rPr>
              <w:t>5.2</w:t>
            </w:r>
            <w:r w:rsidRPr="00DF314A">
              <w:rPr>
                <w:rFonts w:ascii="Arial" w:hAnsi="Arial" w:cs="Arial"/>
                <w:color w:val="000000"/>
                <w:sz w:val="18"/>
                <w:szCs w:val="18"/>
              </w:rPr>
              <w:t>%</w:t>
            </w:r>
          </w:p>
        </w:tc>
        <w:tc>
          <w:tcPr>
            <w:tcW w:w="2160" w:type="dxa"/>
            <w:tcBorders>
              <w:left w:val="single" w:sz="4" w:space="0" w:color="31849B" w:themeColor="accent5" w:themeShade="BF"/>
            </w:tcBorders>
            <w:shd w:val="clear" w:color="auto" w:fill="D9D9D9" w:themeFill="background1" w:themeFillShade="D9"/>
            <w:vAlign w:val="center"/>
          </w:tcPr>
          <w:p w14:paraId="69242F0E" w14:textId="4DD5AB4D" w:rsidR="00193E59" w:rsidRPr="006F4A83" w:rsidRDefault="00193E59" w:rsidP="00193E59">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6F4A83">
              <w:rPr>
                <w:rFonts w:ascii="Arial" w:hAnsi="Arial" w:cs="Arial"/>
                <w:bCs/>
                <w:color w:val="000000" w:themeColor="text1"/>
                <w:sz w:val="18"/>
                <w:szCs w:val="18"/>
              </w:rPr>
              <w:t>Fresh beef</w:t>
            </w:r>
          </w:p>
        </w:tc>
        <w:tc>
          <w:tcPr>
            <w:tcW w:w="1087" w:type="dxa"/>
            <w:shd w:val="clear" w:color="auto" w:fill="D9D9D9" w:themeFill="background1" w:themeFillShade="D9"/>
          </w:tcPr>
          <w:p w14:paraId="2C2E1895" w14:textId="3DDC2F10" w:rsidR="00193E59" w:rsidRPr="006F4A83" w:rsidRDefault="00193E59"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C127EF">
              <w:rPr>
                <w:rFonts w:ascii="Arial" w:hAnsi="Arial" w:cs="Arial"/>
                <w:color w:val="000000"/>
                <w:sz w:val="18"/>
                <w:szCs w:val="18"/>
              </w:rPr>
              <w:t>$</w:t>
            </w:r>
            <w:r w:rsidR="0077039D">
              <w:rPr>
                <w:rFonts w:ascii="Arial" w:hAnsi="Arial" w:cs="Arial"/>
                <w:color w:val="000000"/>
                <w:sz w:val="18"/>
                <w:szCs w:val="18"/>
              </w:rPr>
              <w:t>7.32</w:t>
            </w:r>
          </w:p>
        </w:tc>
        <w:tc>
          <w:tcPr>
            <w:tcW w:w="1649" w:type="dxa"/>
            <w:shd w:val="clear" w:color="auto" w:fill="D9D9D9" w:themeFill="background1" w:themeFillShade="D9"/>
          </w:tcPr>
          <w:p w14:paraId="7F71E690" w14:textId="10E36B8C" w:rsidR="00193E59" w:rsidRPr="006F4A83" w:rsidRDefault="00193E59"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DF314A">
              <w:rPr>
                <w:rFonts w:ascii="Arial" w:hAnsi="Arial" w:cs="Arial"/>
                <w:color w:val="000000"/>
                <w:sz w:val="18"/>
                <w:szCs w:val="18"/>
              </w:rPr>
              <w:t>+</w:t>
            </w:r>
            <w:r w:rsidR="0077039D">
              <w:rPr>
                <w:rFonts w:ascii="Arial" w:hAnsi="Arial" w:cs="Arial"/>
                <w:color w:val="000000"/>
                <w:sz w:val="18"/>
                <w:szCs w:val="18"/>
              </w:rPr>
              <w:t>7.4</w:t>
            </w:r>
            <w:r w:rsidRPr="00DF314A">
              <w:rPr>
                <w:rFonts w:ascii="Arial" w:hAnsi="Arial" w:cs="Arial"/>
                <w:color w:val="000000"/>
                <w:sz w:val="18"/>
                <w:szCs w:val="18"/>
              </w:rPr>
              <w:t>%</w:t>
            </w:r>
          </w:p>
        </w:tc>
      </w:tr>
      <w:tr w:rsidR="00193E59" w:rsidRPr="00C267F7" w14:paraId="40BFAA9F" w14:textId="4FA72BBB" w:rsidTr="00193E59">
        <w:trPr>
          <w:trHeight w:val="20"/>
        </w:trPr>
        <w:tc>
          <w:tcPr>
            <w:cnfStyle w:val="001000000000" w:firstRow="0" w:lastRow="0" w:firstColumn="1" w:lastColumn="0" w:oddVBand="0" w:evenVBand="0" w:oddHBand="0" w:evenHBand="0" w:firstRowFirstColumn="0" w:firstRowLastColumn="0" w:lastRowFirstColumn="0" w:lastRowLastColumn="0"/>
            <w:tcW w:w="2520" w:type="dxa"/>
            <w:vAlign w:val="center"/>
          </w:tcPr>
          <w:p w14:paraId="21544BE2" w14:textId="304B9460" w:rsidR="00193E59" w:rsidRPr="00F63B3F" w:rsidRDefault="00193E59" w:rsidP="00193E59">
            <w:pPr>
              <w:pStyle w:val="NoSpacing"/>
              <w:ind w:left="67"/>
              <w:rPr>
                <w:rFonts w:ascii="Arial" w:hAnsi="Arial" w:cs="Arial"/>
                <w:b w:val="0"/>
                <w:color w:val="000000" w:themeColor="text1"/>
                <w:sz w:val="18"/>
                <w:szCs w:val="18"/>
              </w:rPr>
            </w:pPr>
            <w:r w:rsidRPr="00F63B3F">
              <w:rPr>
                <w:rFonts w:ascii="Arial" w:hAnsi="Arial" w:cs="Arial"/>
                <w:b w:val="0"/>
                <w:color w:val="000000" w:themeColor="text1"/>
                <w:sz w:val="18"/>
                <w:szCs w:val="18"/>
              </w:rPr>
              <w:t>Fresh chicken</w:t>
            </w:r>
          </w:p>
        </w:tc>
        <w:tc>
          <w:tcPr>
            <w:tcW w:w="990" w:type="dxa"/>
          </w:tcPr>
          <w:p w14:paraId="39EFE3AF" w14:textId="18125386" w:rsidR="00193E59" w:rsidRPr="006F4A83" w:rsidRDefault="00193E59" w:rsidP="00193E5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C127EF">
              <w:rPr>
                <w:rFonts w:ascii="Arial" w:hAnsi="Arial" w:cs="Arial"/>
                <w:color w:val="000000"/>
                <w:sz w:val="18"/>
                <w:szCs w:val="18"/>
              </w:rPr>
              <w:t>$</w:t>
            </w:r>
            <w:r w:rsidR="0077039D">
              <w:rPr>
                <w:rFonts w:ascii="Arial" w:hAnsi="Arial" w:cs="Arial"/>
                <w:color w:val="000000"/>
                <w:sz w:val="18"/>
                <w:szCs w:val="18"/>
              </w:rPr>
              <w:t>3.25</w:t>
            </w:r>
          </w:p>
        </w:tc>
        <w:tc>
          <w:tcPr>
            <w:tcW w:w="1800" w:type="dxa"/>
            <w:tcBorders>
              <w:right w:val="single" w:sz="4" w:space="0" w:color="31849B" w:themeColor="accent5" w:themeShade="BF"/>
            </w:tcBorders>
          </w:tcPr>
          <w:p w14:paraId="42FE8E76" w14:textId="6C3D4081" w:rsidR="00193E59" w:rsidRPr="006F4A83" w:rsidRDefault="00193E59" w:rsidP="00193E5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DF314A">
              <w:rPr>
                <w:rFonts w:ascii="Arial" w:hAnsi="Arial" w:cs="Arial"/>
                <w:color w:val="000000"/>
                <w:sz w:val="18"/>
                <w:szCs w:val="18"/>
              </w:rPr>
              <w:t>+</w:t>
            </w:r>
            <w:r w:rsidR="0077039D">
              <w:rPr>
                <w:rFonts w:ascii="Arial" w:hAnsi="Arial" w:cs="Arial"/>
                <w:color w:val="000000"/>
                <w:sz w:val="18"/>
                <w:szCs w:val="18"/>
              </w:rPr>
              <w:t>2.8</w:t>
            </w:r>
            <w:r w:rsidRPr="00DF314A">
              <w:rPr>
                <w:rFonts w:ascii="Arial" w:hAnsi="Arial" w:cs="Arial"/>
                <w:color w:val="000000"/>
                <w:sz w:val="18"/>
                <w:szCs w:val="18"/>
              </w:rPr>
              <w:t>%</w:t>
            </w:r>
          </w:p>
        </w:tc>
        <w:tc>
          <w:tcPr>
            <w:tcW w:w="2160" w:type="dxa"/>
            <w:tcBorders>
              <w:left w:val="single" w:sz="4" w:space="0" w:color="31849B" w:themeColor="accent5" w:themeShade="BF"/>
            </w:tcBorders>
            <w:vAlign w:val="center"/>
          </w:tcPr>
          <w:p w14:paraId="5B4583DE" w14:textId="0517DC14" w:rsidR="00193E59" w:rsidRPr="006F4A83" w:rsidRDefault="00193E59" w:rsidP="00193E59">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6F4A83">
              <w:rPr>
                <w:rFonts w:ascii="Arial" w:hAnsi="Arial" w:cs="Arial"/>
                <w:bCs/>
                <w:color w:val="000000" w:themeColor="text1"/>
                <w:sz w:val="18"/>
                <w:szCs w:val="18"/>
              </w:rPr>
              <w:t>Fresh chicken</w:t>
            </w:r>
          </w:p>
        </w:tc>
        <w:tc>
          <w:tcPr>
            <w:tcW w:w="1087" w:type="dxa"/>
          </w:tcPr>
          <w:p w14:paraId="14E0BACF" w14:textId="0C05307F" w:rsidR="00193E59" w:rsidRPr="006F4A83" w:rsidRDefault="00193E59" w:rsidP="00193E5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C127EF">
              <w:rPr>
                <w:rFonts w:ascii="Arial" w:hAnsi="Arial" w:cs="Arial"/>
                <w:color w:val="000000"/>
                <w:sz w:val="18"/>
                <w:szCs w:val="18"/>
              </w:rPr>
              <w:t>$</w:t>
            </w:r>
            <w:r w:rsidR="0077039D">
              <w:rPr>
                <w:rFonts w:ascii="Arial" w:hAnsi="Arial" w:cs="Arial"/>
                <w:color w:val="000000"/>
                <w:sz w:val="18"/>
                <w:szCs w:val="18"/>
              </w:rPr>
              <w:t>3.20</w:t>
            </w:r>
          </w:p>
        </w:tc>
        <w:tc>
          <w:tcPr>
            <w:tcW w:w="1649" w:type="dxa"/>
          </w:tcPr>
          <w:p w14:paraId="0C6B64E7" w14:textId="5EE66BEC" w:rsidR="00193E59" w:rsidRPr="006F4A83" w:rsidRDefault="00193E59" w:rsidP="00193E5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DF314A">
              <w:rPr>
                <w:rFonts w:ascii="Arial" w:hAnsi="Arial" w:cs="Arial"/>
                <w:color w:val="000000"/>
                <w:sz w:val="18"/>
                <w:szCs w:val="18"/>
              </w:rPr>
              <w:t>+</w:t>
            </w:r>
            <w:r w:rsidR="0077039D">
              <w:rPr>
                <w:rFonts w:ascii="Arial" w:hAnsi="Arial" w:cs="Arial"/>
                <w:color w:val="000000"/>
                <w:sz w:val="18"/>
                <w:szCs w:val="18"/>
              </w:rPr>
              <w:t>3.4</w:t>
            </w:r>
            <w:r w:rsidRPr="00DF314A">
              <w:rPr>
                <w:rFonts w:ascii="Arial" w:hAnsi="Arial" w:cs="Arial"/>
                <w:color w:val="000000"/>
                <w:sz w:val="18"/>
                <w:szCs w:val="18"/>
              </w:rPr>
              <w:t>%</w:t>
            </w:r>
          </w:p>
        </w:tc>
      </w:tr>
      <w:tr w:rsidR="00193E59" w:rsidRPr="00C267F7" w14:paraId="03CE81FF" w14:textId="0F0AB342" w:rsidTr="00193E5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20" w:type="dxa"/>
            <w:shd w:val="clear" w:color="auto" w:fill="D9D9D9" w:themeFill="background1" w:themeFillShade="D9"/>
            <w:vAlign w:val="center"/>
          </w:tcPr>
          <w:p w14:paraId="14016351" w14:textId="1E2970DA" w:rsidR="00193E59" w:rsidRPr="00F63B3F" w:rsidRDefault="00193E59" w:rsidP="00193E59">
            <w:pPr>
              <w:pStyle w:val="NoSpacing"/>
              <w:ind w:left="67"/>
              <w:rPr>
                <w:rFonts w:ascii="Arial" w:hAnsi="Arial" w:cs="Arial"/>
                <w:b w:val="0"/>
                <w:color w:val="000000" w:themeColor="text1"/>
                <w:sz w:val="18"/>
                <w:szCs w:val="18"/>
              </w:rPr>
            </w:pPr>
            <w:r w:rsidRPr="00F63B3F">
              <w:rPr>
                <w:rFonts w:ascii="Arial" w:hAnsi="Arial" w:cs="Arial"/>
                <w:b w:val="0"/>
                <w:color w:val="000000" w:themeColor="text1"/>
                <w:sz w:val="18"/>
                <w:szCs w:val="18"/>
              </w:rPr>
              <w:t>Fresh pork</w:t>
            </w:r>
          </w:p>
        </w:tc>
        <w:tc>
          <w:tcPr>
            <w:tcW w:w="990" w:type="dxa"/>
            <w:shd w:val="clear" w:color="auto" w:fill="D9D9D9" w:themeFill="background1" w:themeFillShade="D9"/>
          </w:tcPr>
          <w:p w14:paraId="144BCDD4" w14:textId="7761AAA9" w:rsidR="00193E59" w:rsidRPr="006F4A83" w:rsidRDefault="00193E59"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C127EF">
              <w:rPr>
                <w:rFonts w:ascii="Arial" w:hAnsi="Arial" w:cs="Arial"/>
                <w:color w:val="000000"/>
                <w:sz w:val="18"/>
                <w:szCs w:val="18"/>
              </w:rPr>
              <w:t>$</w:t>
            </w:r>
            <w:r w:rsidR="0077039D">
              <w:rPr>
                <w:rFonts w:ascii="Arial" w:hAnsi="Arial" w:cs="Arial"/>
                <w:color w:val="000000"/>
                <w:sz w:val="18"/>
                <w:szCs w:val="18"/>
              </w:rPr>
              <w:t>3.30</w:t>
            </w:r>
          </w:p>
        </w:tc>
        <w:tc>
          <w:tcPr>
            <w:tcW w:w="1800" w:type="dxa"/>
            <w:tcBorders>
              <w:right w:val="single" w:sz="4" w:space="0" w:color="31849B" w:themeColor="accent5" w:themeShade="BF"/>
            </w:tcBorders>
            <w:shd w:val="clear" w:color="auto" w:fill="D9D9D9" w:themeFill="background1" w:themeFillShade="D9"/>
          </w:tcPr>
          <w:p w14:paraId="3B2408B8" w14:textId="41FE121D" w:rsidR="00193E59" w:rsidRPr="006F4A83" w:rsidRDefault="00193E59"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DF314A">
              <w:rPr>
                <w:rFonts w:ascii="Arial" w:hAnsi="Arial" w:cs="Arial"/>
                <w:color w:val="000000"/>
                <w:sz w:val="18"/>
                <w:szCs w:val="18"/>
              </w:rPr>
              <w:t>+</w:t>
            </w:r>
            <w:r w:rsidR="0077039D">
              <w:rPr>
                <w:rFonts w:ascii="Arial" w:hAnsi="Arial" w:cs="Arial"/>
                <w:color w:val="000000"/>
                <w:sz w:val="18"/>
                <w:szCs w:val="18"/>
              </w:rPr>
              <w:t>1.3</w:t>
            </w:r>
            <w:r w:rsidRPr="00DF314A">
              <w:rPr>
                <w:rFonts w:ascii="Arial" w:hAnsi="Arial" w:cs="Arial"/>
                <w:color w:val="000000"/>
                <w:sz w:val="18"/>
                <w:szCs w:val="18"/>
              </w:rPr>
              <w:t>%</w:t>
            </w:r>
          </w:p>
        </w:tc>
        <w:tc>
          <w:tcPr>
            <w:tcW w:w="2160" w:type="dxa"/>
            <w:tcBorders>
              <w:left w:val="single" w:sz="4" w:space="0" w:color="31849B" w:themeColor="accent5" w:themeShade="BF"/>
            </w:tcBorders>
            <w:shd w:val="clear" w:color="auto" w:fill="D9D9D9" w:themeFill="background1" w:themeFillShade="D9"/>
            <w:vAlign w:val="center"/>
          </w:tcPr>
          <w:p w14:paraId="288BAD71" w14:textId="07E9143F" w:rsidR="00193E59" w:rsidRPr="006F4A83" w:rsidRDefault="00193E59" w:rsidP="00193E59">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6F4A83">
              <w:rPr>
                <w:rFonts w:ascii="Arial" w:hAnsi="Arial" w:cs="Arial"/>
                <w:bCs/>
                <w:color w:val="000000" w:themeColor="text1"/>
                <w:sz w:val="18"/>
                <w:szCs w:val="18"/>
              </w:rPr>
              <w:t>Fresh pork</w:t>
            </w:r>
          </w:p>
        </w:tc>
        <w:tc>
          <w:tcPr>
            <w:tcW w:w="1087" w:type="dxa"/>
            <w:shd w:val="clear" w:color="auto" w:fill="D9D9D9" w:themeFill="background1" w:themeFillShade="D9"/>
          </w:tcPr>
          <w:p w14:paraId="11897FF3" w14:textId="1D03DE1D" w:rsidR="00193E59" w:rsidRPr="006F4A83" w:rsidRDefault="00193E59"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C127EF">
              <w:rPr>
                <w:rFonts w:ascii="Arial" w:hAnsi="Arial" w:cs="Arial"/>
                <w:color w:val="000000"/>
                <w:sz w:val="18"/>
                <w:szCs w:val="18"/>
              </w:rPr>
              <w:t>$</w:t>
            </w:r>
            <w:r w:rsidR="0077039D">
              <w:rPr>
                <w:rFonts w:ascii="Arial" w:hAnsi="Arial" w:cs="Arial"/>
                <w:color w:val="000000"/>
                <w:sz w:val="18"/>
                <w:szCs w:val="18"/>
              </w:rPr>
              <w:t>3.28</w:t>
            </w:r>
          </w:p>
        </w:tc>
        <w:tc>
          <w:tcPr>
            <w:tcW w:w="1649" w:type="dxa"/>
            <w:shd w:val="clear" w:color="auto" w:fill="D9D9D9" w:themeFill="background1" w:themeFillShade="D9"/>
          </w:tcPr>
          <w:p w14:paraId="62FE5415" w14:textId="5DF08D31" w:rsidR="00193E59" w:rsidRPr="006F4A83" w:rsidRDefault="00193E59"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DF314A">
              <w:rPr>
                <w:rFonts w:ascii="Arial" w:hAnsi="Arial" w:cs="Arial"/>
                <w:color w:val="000000"/>
                <w:sz w:val="18"/>
                <w:szCs w:val="18"/>
              </w:rPr>
              <w:t>+</w:t>
            </w:r>
            <w:r w:rsidR="0077039D">
              <w:rPr>
                <w:rFonts w:ascii="Arial" w:hAnsi="Arial" w:cs="Arial"/>
                <w:color w:val="000000"/>
                <w:sz w:val="18"/>
                <w:szCs w:val="18"/>
              </w:rPr>
              <w:t>2.0</w:t>
            </w:r>
            <w:r w:rsidRPr="00DF314A">
              <w:rPr>
                <w:rFonts w:ascii="Arial" w:hAnsi="Arial" w:cs="Arial"/>
                <w:color w:val="000000"/>
                <w:sz w:val="18"/>
                <w:szCs w:val="18"/>
              </w:rPr>
              <w:t>%</w:t>
            </w:r>
          </w:p>
        </w:tc>
      </w:tr>
      <w:tr w:rsidR="00193E59" w:rsidRPr="00C267F7" w14:paraId="229CC4A4" w14:textId="51EC9C6B" w:rsidTr="00193E59">
        <w:trPr>
          <w:trHeight w:val="20"/>
        </w:trPr>
        <w:tc>
          <w:tcPr>
            <w:cnfStyle w:val="001000000000" w:firstRow="0" w:lastRow="0" w:firstColumn="1" w:lastColumn="0" w:oddVBand="0" w:evenVBand="0" w:oddHBand="0" w:evenHBand="0" w:firstRowFirstColumn="0" w:firstRowLastColumn="0" w:lastRowFirstColumn="0" w:lastRowLastColumn="0"/>
            <w:tcW w:w="2520" w:type="dxa"/>
            <w:vAlign w:val="center"/>
          </w:tcPr>
          <w:p w14:paraId="245DD4E7" w14:textId="0D5E67B1" w:rsidR="00193E59" w:rsidRPr="00F63B3F" w:rsidRDefault="00193E59" w:rsidP="00193E59">
            <w:pPr>
              <w:pStyle w:val="NoSpacing"/>
              <w:ind w:left="67"/>
              <w:rPr>
                <w:rFonts w:ascii="Arial" w:hAnsi="Arial" w:cs="Arial"/>
                <w:b w:val="0"/>
                <w:color w:val="000000" w:themeColor="text1"/>
                <w:sz w:val="18"/>
                <w:szCs w:val="18"/>
              </w:rPr>
            </w:pPr>
            <w:r w:rsidRPr="00F63B3F">
              <w:rPr>
                <w:rFonts w:ascii="Arial" w:hAnsi="Arial" w:cs="Arial"/>
                <w:b w:val="0"/>
                <w:color w:val="000000" w:themeColor="text1"/>
                <w:sz w:val="18"/>
                <w:szCs w:val="18"/>
              </w:rPr>
              <w:t>Fresh turkey</w:t>
            </w:r>
          </w:p>
        </w:tc>
        <w:tc>
          <w:tcPr>
            <w:tcW w:w="990" w:type="dxa"/>
          </w:tcPr>
          <w:p w14:paraId="3EBD5D69" w14:textId="14E3F612" w:rsidR="00193E59" w:rsidRPr="006F4A83" w:rsidRDefault="00193E59" w:rsidP="00193E5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C127EF">
              <w:rPr>
                <w:rFonts w:ascii="Arial" w:hAnsi="Arial" w:cs="Arial"/>
                <w:color w:val="000000"/>
                <w:sz w:val="18"/>
                <w:szCs w:val="18"/>
              </w:rPr>
              <w:t>$</w:t>
            </w:r>
            <w:r w:rsidR="0077039D">
              <w:rPr>
                <w:rFonts w:ascii="Arial" w:hAnsi="Arial" w:cs="Arial"/>
                <w:color w:val="000000"/>
                <w:sz w:val="18"/>
                <w:szCs w:val="18"/>
              </w:rPr>
              <w:t>4.68</w:t>
            </w:r>
          </w:p>
        </w:tc>
        <w:tc>
          <w:tcPr>
            <w:tcW w:w="1800" w:type="dxa"/>
            <w:tcBorders>
              <w:right w:val="single" w:sz="4" w:space="0" w:color="31849B" w:themeColor="accent5" w:themeShade="BF"/>
            </w:tcBorders>
          </w:tcPr>
          <w:p w14:paraId="01B56788" w14:textId="1A43C57A" w:rsidR="00193E59" w:rsidRPr="006F4A83" w:rsidRDefault="00193E59" w:rsidP="00193E5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DF314A">
              <w:rPr>
                <w:rFonts w:ascii="Arial" w:hAnsi="Arial" w:cs="Arial"/>
                <w:color w:val="000000"/>
                <w:sz w:val="18"/>
                <w:szCs w:val="18"/>
              </w:rPr>
              <w:t>+</w:t>
            </w:r>
            <w:r w:rsidR="0077039D">
              <w:rPr>
                <w:rFonts w:ascii="Arial" w:hAnsi="Arial" w:cs="Arial"/>
                <w:color w:val="000000"/>
                <w:sz w:val="18"/>
                <w:szCs w:val="18"/>
              </w:rPr>
              <w:t>17.6</w:t>
            </w:r>
            <w:r w:rsidRPr="00DF314A">
              <w:rPr>
                <w:rFonts w:ascii="Arial" w:hAnsi="Arial" w:cs="Arial"/>
                <w:color w:val="000000"/>
                <w:sz w:val="18"/>
                <w:szCs w:val="18"/>
              </w:rPr>
              <w:t>%</w:t>
            </w:r>
          </w:p>
        </w:tc>
        <w:tc>
          <w:tcPr>
            <w:tcW w:w="2160" w:type="dxa"/>
            <w:tcBorders>
              <w:left w:val="single" w:sz="4" w:space="0" w:color="31849B" w:themeColor="accent5" w:themeShade="BF"/>
            </w:tcBorders>
            <w:vAlign w:val="center"/>
          </w:tcPr>
          <w:p w14:paraId="7D399932" w14:textId="735371A9" w:rsidR="00193E59" w:rsidRPr="006F4A83" w:rsidRDefault="00193E59" w:rsidP="00193E59">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6F4A83">
              <w:rPr>
                <w:rFonts w:ascii="Arial" w:hAnsi="Arial" w:cs="Arial"/>
                <w:bCs/>
                <w:color w:val="000000" w:themeColor="text1"/>
                <w:sz w:val="18"/>
                <w:szCs w:val="18"/>
              </w:rPr>
              <w:t>Fresh turkey</w:t>
            </w:r>
          </w:p>
        </w:tc>
        <w:tc>
          <w:tcPr>
            <w:tcW w:w="1087" w:type="dxa"/>
          </w:tcPr>
          <w:p w14:paraId="25B71BAF" w14:textId="5B7F47FB" w:rsidR="00193E59" w:rsidRPr="006F4A83" w:rsidRDefault="00193E59" w:rsidP="00193E5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C127EF">
              <w:rPr>
                <w:rFonts w:ascii="Arial" w:hAnsi="Arial" w:cs="Arial"/>
                <w:color w:val="000000"/>
                <w:sz w:val="18"/>
                <w:szCs w:val="18"/>
              </w:rPr>
              <w:t>$</w:t>
            </w:r>
            <w:r w:rsidR="0077039D">
              <w:rPr>
                <w:rFonts w:ascii="Arial" w:hAnsi="Arial" w:cs="Arial"/>
                <w:color w:val="000000"/>
                <w:sz w:val="18"/>
                <w:szCs w:val="18"/>
              </w:rPr>
              <w:t>2.77</w:t>
            </w:r>
          </w:p>
        </w:tc>
        <w:tc>
          <w:tcPr>
            <w:tcW w:w="1649" w:type="dxa"/>
          </w:tcPr>
          <w:p w14:paraId="7CADE09D" w14:textId="71B7763F" w:rsidR="00193E59" w:rsidRPr="006F4A83" w:rsidRDefault="00193E59" w:rsidP="00193E5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DF314A">
              <w:rPr>
                <w:rFonts w:ascii="Arial" w:hAnsi="Arial" w:cs="Arial"/>
                <w:color w:val="000000"/>
                <w:sz w:val="18"/>
                <w:szCs w:val="18"/>
              </w:rPr>
              <w:t>+</w:t>
            </w:r>
            <w:r w:rsidR="0077039D">
              <w:rPr>
                <w:rFonts w:ascii="Arial" w:hAnsi="Arial" w:cs="Arial"/>
                <w:color w:val="000000"/>
                <w:sz w:val="18"/>
                <w:szCs w:val="18"/>
              </w:rPr>
              <w:t>5.8</w:t>
            </w:r>
            <w:r w:rsidRPr="00DF314A">
              <w:rPr>
                <w:rFonts w:ascii="Arial" w:hAnsi="Arial" w:cs="Arial"/>
                <w:color w:val="000000"/>
                <w:sz w:val="18"/>
                <w:szCs w:val="18"/>
              </w:rPr>
              <w:t>%</w:t>
            </w:r>
          </w:p>
        </w:tc>
      </w:tr>
      <w:tr w:rsidR="00193E59" w:rsidRPr="00C267F7" w14:paraId="7C11163E" w14:textId="358ED149" w:rsidTr="00193E5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20" w:type="dxa"/>
            <w:shd w:val="clear" w:color="auto" w:fill="D9D9D9" w:themeFill="background1" w:themeFillShade="D9"/>
            <w:vAlign w:val="center"/>
          </w:tcPr>
          <w:p w14:paraId="73309EDE" w14:textId="58968F19" w:rsidR="00193E59" w:rsidRPr="00F63B3F" w:rsidRDefault="00193E59" w:rsidP="00193E59">
            <w:pPr>
              <w:pStyle w:val="NoSpacing"/>
              <w:ind w:left="67"/>
              <w:rPr>
                <w:rFonts w:ascii="Arial" w:hAnsi="Arial" w:cs="Arial"/>
                <w:b w:val="0"/>
                <w:color w:val="000000" w:themeColor="text1"/>
                <w:sz w:val="18"/>
                <w:szCs w:val="18"/>
              </w:rPr>
            </w:pPr>
            <w:r w:rsidRPr="00F63B3F">
              <w:rPr>
                <w:rFonts w:ascii="Arial" w:hAnsi="Arial" w:cs="Arial"/>
                <w:b w:val="0"/>
                <w:color w:val="000000" w:themeColor="text1"/>
                <w:sz w:val="18"/>
                <w:szCs w:val="18"/>
              </w:rPr>
              <w:t>Fresh lamb</w:t>
            </w:r>
          </w:p>
        </w:tc>
        <w:tc>
          <w:tcPr>
            <w:tcW w:w="990" w:type="dxa"/>
            <w:shd w:val="clear" w:color="auto" w:fill="D9D9D9" w:themeFill="background1" w:themeFillShade="D9"/>
          </w:tcPr>
          <w:p w14:paraId="2B4B9BF1" w14:textId="0A10A47A" w:rsidR="00193E59" w:rsidRPr="006F4A83" w:rsidRDefault="00193E59"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C127EF">
              <w:rPr>
                <w:rFonts w:ascii="Arial" w:hAnsi="Arial" w:cs="Arial"/>
                <w:color w:val="000000"/>
                <w:sz w:val="18"/>
                <w:szCs w:val="18"/>
              </w:rPr>
              <w:t>$</w:t>
            </w:r>
            <w:r w:rsidR="0077039D">
              <w:rPr>
                <w:rFonts w:ascii="Arial" w:hAnsi="Arial" w:cs="Arial"/>
                <w:color w:val="000000"/>
                <w:sz w:val="18"/>
                <w:szCs w:val="18"/>
              </w:rPr>
              <w:t>9.21</w:t>
            </w:r>
          </w:p>
        </w:tc>
        <w:tc>
          <w:tcPr>
            <w:tcW w:w="1800" w:type="dxa"/>
            <w:tcBorders>
              <w:right w:val="single" w:sz="4" w:space="0" w:color="31849B" w:themeColor="accent5" w:themeShade="BF"/>
            </w:tcBorders>
            <w:shd w:val="clear" w:color="auto" w:fill="D9D9D9" w:themeFill="background1" w:themeFillShade="D9"/>
          </w:tcPr>
          <w:p w14:paraId="0EAA389B" w14:textId="10CCBA98" w:rsidR="00193E59" w:rsidRPr="006F4A83" w:rsidRDefault="00193E59"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DF314A">
              <w:rPr>
                <w:rFonts w:ascii="Arial" w:hAnsi="Arial" w:cs="Arial"/>
                <w:color w:val="000000"/>
                <w:sz w:val="18"/>
                <w:szCs w:val="18"/>
              </w:rPr>
              <w:t>+</w:t>
            </w:r>
            <w:r w:rsidR="0077039D">
              <w:rPr>
                <w:rFonts w:ascii="Arial" w:hAnsi="Arial" w:cs="Arial"/>
                <w:color w:val="000000"/>
                <w:sz w:val="18"/>
                <w:szCs w:val="18"/>
              </w:rPr>
              <w:t>14.2</w:t>
            </w:r>
            <w:r w:rsidRPr="00DF314A">
              <w:rPr>
                <w:rFonts w:ascii="Arial" w:hAnsi="Arial" w:cs="Arial"/>
                <w:color w:val="000000"/>
                <w:sz w:val="18"/>
                <w:szCs w:val="18"/>
              </w:rPr>
              <w:t>%</w:t>
            </w:r>
          </w:p>
        </w:tc>
        <w:tc>
          <w:tcPr>
            <w:tcW w:w="2160" w:type="dxa"/>
            <w:tcBorders>
              <w:left w:val="single" w:sz="4" w:space="0" w:color="31849B" w:themeColor="accent5" w:themeShade="BF"/>
            </w:tcBorders>
            <w:shd w:val="clear" w:color="auto" w:fill="D9D9D9" w:themeFill="background1" w:themeFillShade="D9"/>
            <w:vAlign w:val="center"/>
          </w:tcPr>
          <w:p w14:paraId="42FFA6E0" w14:textId="19DA92CE" w:rsidR="00193E59" w:rsidRPr="006F4A83" w:rsidRDefault="00193E59" w:rsidP="00193E59">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6F4A83">
              <w:rPr>
                <w:rFonts w:ascii="Arial" w:hAnsi="Arial" w:cs="Arial"/>
                <w:bCs/>
                <w:color w:val="000000" w:themeColor="text1"/>
                <w:sz w:val="18"/>
                <w:szCs w:val="18"/>
              </w:rPr>
              <w:t>Fresh lamb</w:t>
            </w:r>
          </w:p>
        </w:tc>
        <w:tc>
          <w:tcPr>
            <w:tcW w:w="1087" w:type="dxa"/>
            <w:shd w:val="clear" w:color="auto" w:fill="D9D9D9" w:themeFill="background1" w:themeFillShade="D9"/>
          </w:tcPr>
          <w:p w14:paraId="64B1B28B" w14:textId="4C92CACE" w:rsidR="00193E59" w:rsidRPr="006F4A83" w:rsidRDefault="00193E59"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C127EF">
              <w:rPr>
                <w:rFonts w:ascii="Arial" w:hAnsi="Arial" w:cs="Arial"/>
                <w:color w:val="000000"/>
                <w:sz w:val="18"/>
                <w:szCs w:val="18"/>
              </w:rPr>
              <w:t>$</w:t>
            </w:r>
            <w:r w:rsidR="0077039D">
              <w:rPr>
                <w:rFonts w:ascii="Arial" w:hAnsi="Arial" w:cs="Arial"/>
                <w:color w:val="000000"/>
                <w:sz w:val="18"/>
                <w:szCs w:val="18"/>
              </w:rPr>
              <w:t>8.92</w:t>
            </w:r>
          </w:p>
        </w:tc>
        <w:tc>
          <w:tcPr>
            <w:tcW w:w="1649" w:type="dxa"/>
            <w:shd w:val="clear" w:color="auto" w:fill="D9D9D9" w:themeFill="background1" w:themeFillShade="D9"/>
          </w:tcPr>
          <w:p w14:paraId="101B702A" w14:textId="4346C180" w:rsidR="00193E59" w:rsidRPr="006F4A83" w:rsidRDefault="00193E59"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DF314A">
              <w:rPr>
                <w:rFonts w:ascii="Arial" w:hAnsi="Arial" w:cs="Arial"/>
                <w:color w:val="000000"/>
                <w:sz w:val="18"/>
                <w:szCs w:val="18"/>
              </w:rPr>
              <w:t>+</w:t>
            </w:r>
            <w:r w:rsidR="0077039D">
              <w:rPr>
                <w:rFonts w:ascii="Arial" w:hAnsi="Arial" w:cs="Arial"/>
                <w:color w:val="000000"/>
                <w:sz w:val="18"/>
                <w:szCs w:val="18"/>
              </w:rPr>
              <w:t>10.7</w:t>
            </w:r>
            <w:r w:rsidRPr="00DF314A">
              <w:rPr>
                <w:rFonts w:ascii="Arial" w:hAnsi="Arial" w:cs="Arial"/>
                <w:color w:val="000000"/>
                <w:sz w:val="18"/>
                <w:szCs w:val="18"/>
              </w:rPr>
              <w:t>%</w:t>
            </w:r>
          </w:p>
        </w:tc>
      </w:tr>
      <w:tr w:rsidR="00193E59" w:rsidRPr="00C267F7" w14:paraId="46FFF366" w14:textId="07AAC3CB" w:rsidTr="00193E59">
        <w:trPr>
          <w:trHeight w:val="20"/>
        </w:trPr>
        <w:tc>
          <w:tcPr>
            <w:cnfStyle w:val="001000000000" w:firstRow="0" w:lastRow="0" w:firstColumn="1" w:lastColumn="0" w:oddVBand="0" w:evenVBand="0" w:oddHBand="0" w:evenHBand="0" w:firstRowFirstColumn="0" w:firstRowLastColumn="0" w:lastRowFirstColumn="0" w:lastRowLastColumn="0"/>
            <w:tcW w:w="2520" w:type="dxa"/>
            <w:vAlign w:val="center"/>
          </w:tcPr>
          <w:p w14:paraId="368F3672" w14:textId="77777777" w:rsidR="00193E59" w:rsidRPr="00F63B3F" w:rsidRDefault="00193E59" w:rsidP="00193E59">
            <w:pPr>
              <w:pStyle w:val="NoSpacing"/>
              <w:ind w:left="67"/>
              <w:rPr>
                <w:rFonts w:ascii="Arial" w:hAnsi="Arial" w:cs="Arial"/>
                <w:b w:val="0"/>
                <w:color w:val="000000" w:themeColor="text1"/>
                <w:sz w:val="18"/>
                <w:szCs w:val="18"/>
              </w:rPr>
            </w:pPr>
            <w:r w:rsidRPr="00F63B3F">
              <w:rPr>
                <w:rFonts w:ascii="Arial" w:hAnsi="Arial" w:cs="Arial"/>
                <w:b w:val="0"/>
                <w:color w:val="000000" w:themeColor="text1"/>
                <w:sz w:val="18"/>
                <w:szCs w:val="18"/>
              </w:rPr>
              <w:t>Fresh exotic</w:t>
            </w:r>
          </w:p>
        </w:tc>
        <w:tc>
          <w:tcPr>
            <w:tcW w:w="990" w:type="dxa"/>
          </w:tcPr>
          <w:p w14:paraId="2F2878E0" w14:textId="3C28F51C" w:rsidR="00193E59" w:rsidRPr="006F4A83" w:rsidRDefault="00193E59" w:rsidP="00193E5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C127EF">
              <w:rPr>
                <w:rFonts w:ascii="Arial" w:hAnsi="Arial" w:cs="Arial"/>
                <w:color w:val="000000"/>
                <w:sz w:val="18"/>
                <w:szCs w:val="18"/>
              </w:rPr>
              <w:t>$</w:t>
            </w:r>
            <w:r w:rsidR="0077039D">
              <w:rPr>
                <w:rFonts w:ascii="Arial" w:hAnsi="Arial" w:cs="Arial"/>
                <w:color w:val="000000"/>
                <w:sz w:val="18"/>
                <w:szCs w:val="18"/>
              </w:rPr>
              <w:t>9.68</w:t>
            </w:r>
          </w:p>
        </w:tc>
        <w:tc>
          <w:tcPr>
            <w:tcW w:w="1800" w:type="dxa"/>
            <w:tcBorders>
              <w:right w:val="single" w:sz="4" w:space="0" w:color="31849B" w:themeColor="accent5" w:themeShade="BF"/>
            </w:tcBorders>
          </w:tcPr>
          <w:p w14:paraId="3EB1EB76" w14:textId="02E8B65C" w:rsidR="00193E59" w:rsidRPr="006F4A83" w:rsidRDefault="00193E59" w:rsidP="00193E5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DF314A">
              <w:rPr>
                <w:rFonts w:ascii="Arial" w:hAnsi="Arial" w:cs="Arial"/>
                <w:color w:val="000000"/>
                <w:sz w:val="18"/>
                <w:szCs w:val="18"/>
              </w:rPr>
              <w:t>+</w:t>
            </w:r>
            <w:r w:rsidR="0077039D">
              <w:rPr>
                <w:rFonts w:ascii="Arial" w:hAnsi="Arial" w:cs="Arial"/>
                <w:color w:val="000000"/>
                <w:sz w:val="18"/>
                <w:szCs w:val="18"/>
              </w:rPr>
              <w:t>14.9</w:t>
            </w:r>
            <w:r w:rsidRPr="00DF314A">
              <w:rPr>
                <w:rFonts w:ascii="Arial" w:hAnsi="Arial" w:cs="Arial"/>
                <w:color w:val="000000"/>
                <w:sz w:val="18"/>
                <w:szCs w:val="18"/>
              </w:rPr>
              <w:t>%</w:t>
            </w:r>
          </w:p>
        </w:tc>
        <w:tc>
          <w:tcPr>
            <w:tcW w:w="2160" w:type="dxa"/>
            <w:tcBorders>
              <w:left w:val="single" w:sz="4" w:space="0" w:color="31849B" w:themeColor="accent5" w:themeShade="BF"/>
            </w:tcBorders>
            <w:vAlign w:val="center"/>
          </w:tcPr>
          <w:p w14:paraId="3D25EFA1" w14:textId="0D2872A0" w:rsidR="00193E59" w:rsidRPr="006F4A83" w:rsidRDefault="00193E59" w:rsidP="00193E59">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6F4A83">
              <w:rPr>
                <w:rFonts w:ascii="Arial" w:hAnsi="Arial" w:cs="Arial"/>
                <w:bCs/>
                <w:color w:val="000000" w:themeColor="text1"/>
                <w:sz w:val="18"/>
                <w:szCs w:val="18"/>
              </w:rPr>
              <w:t>Fresh exotic</w:t>
            </w:r>
          </w:p>
        </w:tc>
        <w:tc>
          <w:tcPr>
            <w:tcW w:w="1087" w:type="dxa"/>
          </w:tcPr>
          <w:p w14:paraId="7366C5C2" w14:textId="3D20B1E7" w:rsidR="00193E59" w:rsidRPr="006F4A83" w:rsidRDefault="00193E59" w:rsidP="00193E5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C127EF">
              <w:rPr>
                <w:rFonts w:ascii="Arial" w:hAnsi="Arial" w:cs="Arial"/>
                <w:color w:val="000000"/>
                <w:sz w:val="18"/>
                <w:szCs w:val="18"/>
              </w:rPr>
              <w:t>$</w:t>
            </w:r>
            <w:r w:rsidR="0077039D">
              <w:rPr>
                <w:rFonts w:ascii="Arial" w:hAnsi="Arial" w:cs="Arial"/>
                <w:color w:val="000000"/>
                <w:sz w:val="18"/>
                <w:szCs w:val="18"/>
              </w:rPr>
              <w:t>8.85</w:t>
            </w:r>
          </w:p>
        </w:tc>
        <w:tc>
          <w:tcPr>
            <w:tcW w:w="1649" w:type="dxa"/>
          </w:tcPr>
          <w:p w14:paraId="48BD8E40" w14:textId="21E7310B" w:rsidR="00193E59" w:rsidRPr="006F4A83" w:rsidRDefault="00193E59" w:rsidP="00193E5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DF314A">
              <w:rPr>
                <w:rFonts w:ascii="Arial" w:hAnsi="Arial" w:cs="Arial"/>
                <w:color w:val="000000"/>
                <w:sz w:val="18"/>
                <w:szCs w:val="18"/>
              </w:rPr>
              <w:t>+</w:t>
            </w:r>
            <w:r w:rsidR="0077039D">
              <w:rPr>
                <w:rFonts w:ascii="Arial" w:hAnsi="Arial" w:cs="Arial"/>
                <w:color w:val="000000"/>
                <w:sz w:val="18"/>
                <w:szCs w:val="18"/>
              </w:rPr>
              <w:t>3.4</w:t>
            </w:r>
            <w:r w:rsidRPr="00DF314A">
              <w:rPr>
                <w:rFonts w:ascii="Arial" w:hAnsi="Arial" w:cs="Arial"/>
                <w:color w:val="000000"/>
                <w:sz w:val="18"/>
                <w:szCs w:val="18"/>
              </w:rPr>
              <w:t>%</w:t>
            </w:r>
          </w:p>
        </w:tc>
      </w:tr>
      <w:tr w:rsidR="00193E59" w:rsidRPr="00C267F7" w14:paraId="61635BD3" w14:textId="2B0700F2" w:rsidTr="00193E5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20" w:type="dxa"/>
            <w:shd w:val="clear" w:color="auto" w:fill="D9D9D9" w:themeFill="background1" w:themeFillShade="D9"/>
            <w:vAlign w:val="center"/>
          </w:tcPr>
          <w:p w14:paraId="64295FA0" w14:textId="77777777" w:rsidR="00193E59" w:rsidRPr="00F63B3F" w:rsidRDefault="00193E59" w:rsidP="00193E59">
            <w:pPr>
              <w:pStyle w:val="NoSpacing"/>
              <w:ind w:left="67"/>
              <w:rPr>
                <w:rFonts w:ascii="Arial" w:hAnsi="Arial" w:cs="Arial"/>
                <w:b w:val="0"/>
                <w:color w:val="000000" w:themeColor="text1"/>
                <w:sz w:val="18"/>
                <w:szCs w:val="18"/>
              </w:rPr>
            </w:pPr>
            <w:r w:rsidRPr="00F63B3F">
              <w:rPr>
                <w:rFonts w:ascii="Arial" w:hAnsi="Arial" w:cs="Arial"/>
                <w:b w:val="0"/>
                <w:color w:val="000000" w:themeColor="text1"/>
                <w:sz w:val="18"/>
                <w:szCs w:val="18"/>
              </w:rPr>
              <w:t>Bacon</w:t>
            </w:r>
          </w:p>
        </w:tc>
        <w:tc>
          <w:tcPr>
            <w:tcW w:w="990" w:type="dxa"/>
            <w:shd w:val="clear" w:color="auto" w:fill="D9D9D9" w:themeFill="background1" w:themeFillShade="D9"/>
          </w:tcPr>
          <w:p w14:paraId="22467995" w14:textId="2D5EB038" w:rsidR="00193E59" w:rsidRPr="006F4A83" w:rsidRDefault="00193E59"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C127EF">
              <w:rPr>
                <w:rFonts w:ascii="Arial" w:hAnsi="Arial" w:cs="Arial"/>
                <w:color w:val="000000"/>
                <w:sz w:val="18"/>
                <w:szCs w:val="18"/>
              </w:rPr>
              <w:t>$</w:t>
            </w:r>
            <w:r w:rsidR="0077039D">
              <w:rPr>
                <w:rFonts w:ascii="Arial" w:hAnsi="Arial" w:cs="Arial"/>
                <w:color w:val="000000"/>
                <w:sz w:val="18"/>
                <w:szCs w:val="18"/>
              </w:rPr>
              <w:t>6.09</w:t>
            </w:r>
          </w:p>
        </w:tc>
        <w:tc>
          <w:tcPr>
            <w:tcW w:w="1800" w:type="dxa"/>
            <w:tcBorders>
              <w:right w:val="single" w:sz="4" w:space="0" w:color="31849B" w:themeColor="accent5" w:themeShade="BF"/>
            </w:tcBorders>
            <w:shd w:val="clear" w:color="auto" w:fill="D9D9D9" w:themeFill="background1" w:themeFillShade="D9"/>
          </w:tcPr>
          <w:p w14:paraId="04B317A8" w14:textId="1659286E" w:rsidR="00193E59" w:rsidRPr="006F4A83" w:rsidRDefault="0077039D"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-0.7</w:t>
            </w:r>
            <w:r w:rsidR="00193E59" w:rsidRPr="00DF314A">
              <w:rPr>
                <w:rFonts w:ascii="Arial" w:hAnsi="Arial" w:cs="Arial"/>
                <w:color w:val="000000"/>
                <w:sz w:val="18"/>
                <w:szCs w:val="18"/>
              </w:rPr>
              <w:t>%</w:t>
            </w:r>
          </w:p>
        </w:tc>
        <w:tc>
          <w:tcPr>
            <w:tcW w:w="2160" w:type="dxa"/>
            <w:tcBorders>
              <w:left w:val="single" w:sz="4" w:space="0" w:color="31849B" w:themeColor="accent5" w:themeShade="BF"/>
            </w:tcBorders>
            <w:shd w:val="clear" w:color="auto" w:fill="D9D9D9" w:themeFill="background1" w:themeFillShade="D9"/>
            <w:vAlign w:val="center"/>
          </w:tcPr>
          <w:p w14:paraId="46BC19A2" w14:textId="63C224A3" w:rsidR="00193E59" w:rsidRPr="006F4A83" w:rsidRDefault="00193E59" w:rsidP="00193E59">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6F4A83">
              <w:rPr>
                <w:rFonts w:ascii="Arial" w:hAnsi="Arial" w:cs="Arial"/>
                <w:bCs/>
                <w:color w:val="000000" w:themeColor="text1"/>
                <w:sz w:val="18"/>
                <w:szCs w:val="18"/>
              </w:rPr>
              <w:t>Bacon</w:t>
            </w:r>
          </w:p>
        </w:tc>
        <w:tc>
          <w:tcPr>
            <w:tcW w:w="1087" w:type="dxa"/>
            <w:shd w:val="clear" w:color="auto" w:fill="D9D9D9" w:themeFill="background1" w:themeFillShade="D9"/>
          </w:tcPr>
          <w:p w14:paraId="39302DE6" w14:textId="41767937" w:rsidR="00193E59" w:rsidRPr="006F4A83" w:rsidRDefault="00193E59"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C127EF">
              <w:rPr>
                <w:rFonts w:ascii="Arial" w:hAnsi="Arial" w:cs="Arial"/>
                <w:color w:val="000000"/>
                <w:sz w:val="18"/>
                <w:szCs w:val="18"/>
              </w:rPr>
              <w:t>$</w:t>
            </w:r>
            <w:r w:rsidR="0077039D">
              <w:rPr>
                <w:rFonts w:ascii="Arial" w:hAnsi="Arial" w:cs="Arial"/>
                <w:color w:val="000000"/>
                <w:sz w:val="18"/>
                <w:szCs w:val="18"/>
              </w:rPr>
              <w:t>6.35</w:t>
            </w:r>
          </w:p>
        </w:tc>
        <w:tc>
          <w:tcPr>
            <w:tcW w:w="1649" w:type="dxa"/>
            <w:shd w:val="clear" w:color="auto" w:fill="D9D9D9" w:themeFill="background1" w:themeFillShade="D9"/>
          </w:tcPr>
          <w:p w14:paraId="085DA66D" w14:textId="0021583D" w:rsidR="00193E59" w:rsidRPr="006F4A83" w:rsidRDefault="00193E59"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DF314A">
              <w:rPr>
                <w:rFonts w:ascii="Arial" w:hAnsi="Arial" w:cs="Arial"/>
                <w:color w:val="000000"/>
                <w:sz w:val="18"/>
                <w:szCs w:val="18"/>
              </w:rPr>
              <w:t>+</w:t>
            </w:r>
            <w:r w:rsidR="0077039D">
              <w:rPr>
                <w:rFonts w:ascii="Arial" w:hAnsi="Arial" w:cs="Arial"/>
                <w:color w:val="000000"/>
                <w:sz w:val="18"/>
                <w:szCs w:val="18"/>
              </w:rPr>
              <w:t>3.2</w:t>
            </w:r>
            <w:r w:rsidRPr="00DF314A">
              <w:rPr>
                <w:rFonts w:ascii="Arial" w:hAnsi="Arial" w:cs="Arial"/>
                <w:color w:val="000000"/>
                <w:sz w:val="18"/>
                <w:szCs w:val="18"/>
              </w:rPr>
              <w:t>%</w:t>
            </w:r>
          </w:p>
        </w:tc>
      </w:tr>
      <w:tr w:rsidR="00193E59" w:rsidRPr="00C267F7" w14:paraId="225C0BFC" w14:textId="0BC65D39" w:rsidTr="00193E59">
        <w:trPr>
          <w:trHeight w:val="20"/>
        </w:trPr>
        <w:tc>
          <w:tcPr>
            <w:cnfStyle w:val="001000000000" w:firstRow="0" w:lastRow="0" w:firstColumn="1" w:lastColumn="0" w:oddVBand="0" w:evenVBand="0" w:oddHBand="0" w:evenHBand="0" w:firstRowFirstColumn="0" w:firstRowLastColumn="0" w:lastRowFirstColumn="0" w:lastRowLastColumn="0"/>
            <w:tcW w:w="2520" w:type="dxa"/>
            <w:vAlign w:val="center"/>
          </w:tcPr>
          <w:p w14:paraId="3BC69A73" w14:textId="77777777" w:rsidR="00193E59" w:rsidRPr="00F63B3F" w:rsidRDefault="00193E59" w:rsidP="00193E59">
            <w:pPr>
              <w:pStyle w:val="NoSpacing"/>
              <w:ind w:left="67"/>
              <w:rPr>
                <w:rFonts w:ascii="Arial" w:hAnsi="Arial" w:cs="Arial"/>
                <w:b w:val="0"/>
                <w:color w:val="000000" w:themeColor="text1"/>
                <w:sz w:val="18"/>
                <w:szCs w:val="18"/>
              </w:rPr>
            </w:pPr>
            <w:r w:rsidRPr="00F63B3F">
              <w:rPr>
                <w:rFonts w:ascii="Arial" w:hAnsi="Arial" w:cs="Arial"/>
                <w:b w:val="0"/>
                <w:color w:val="000000" w:themeColor="text1"/>
                <w:sz w:val="18"/>
                <w:szCs w:val="18"/>
              </w:rPr>
              <w:t>Packaged lunchmeat</w:t>
            </w:r>
          </w:p>
        </w:tc>
        <w:tc>
          <w:tcPr>
            <w:tcW w:w="990" w:type="dxa"/>
          </w:tcPr>
          <w:p w14:paraId="4D1FFDBA" w14:textId="33A1EBD3" w:rsidR="00193E59" w:rsidRPr="006F4A83" w:rsidRDefault="00193E59" w:rsidP="00193E5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C127EF">
              <w:rPr>
                <w:rFonts w:ascii="Arial" w:hAnsi="Arial" w:cs="Arial"/>
                <w:color w:val="000000"/>
                <w:sz w:val="18"/>
                <w:szCs w:val="18"/>
              </w:rPr>
              <w:t>$</w:t>
            </w:r>
            <w:r w:rsidR="0077039D">
              <w:rPr>
                <w:rFonts w:ascii="Arial" w:hAnsi="Arial" w:cs="Arial"/>
                <w:color w:val="000000"/>
                <w:sz w:val="18"/>
                <w:szCs w:val="18"/>
              </w:rPr>
              <w:t>6.27</w:t>
            </w:r>
          </w:p>
        </w:tc>
        <w:tc>
          <w:tcPr>
            <w:tcW w:w="1800" w:type="dxa"/>
            <w:tcBorders>
              <w:right w:val="single" w:sz="4" w:space="0" w:color="31849B" w:themeColor="accent5" w:themeShade="BF"/>
            </w:tcBorders>
          </w:tcPr>
          <w:p w14:paraId="5F559B24" w14:textId="05B64419" w:rsidR="00193E59" w:rsidRPr="006F4A83" w:rsidRDefault="00193E59" w:rsidP="00193E5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DF314A">
              <w:rPr>
                <w:rFonts w:ascii="Arial" w:hAnsi="Arial" w:cs="Arial"/>
                <w:color w:val="000000"/>
                <w:sz w:val="18"/>
                <w:szCs w:val="18"/>
              </w:rPr>
              <w:t>+</w:t>
            </w:r>
            <w:r w:rsidR="0077039D">
              <w:rPr>
                <w:rFonts w:ascii="Arial" w:hAnsi="Arial" w:cs="Arial"/>
                <w:color w:val="000000"/>
                <w:sz w:val="18"/>
                <w:szCs w:val="18"/>
              </w:rPr>
              <w:t>6.2</w:t>
            </w:r>
            <w:r w:rsidRPr="00DF314A">
              <w:rPr>
                <w:rFonts w:ascii="Arial" w:hAnsi="Arial" w:cs="Arial"/>
                <w:color w:val="000000"/>
                <w:sz w:val="18"/>
                <w:szCs w:val="18"/>
              </w:rPr>
              <w:t>%</w:t>
            </w:r>
          </w:p>
        </w:tc>
        <w:tc>
          <w:tcPr>
            <w:tcW w:w="2160" w:type="dxa"/>
            <w:tcBorders>
              <w:left w:val="single" w:sz="4" w:space="0" w:color="31849B" w:themeColor="accent5" w:themeShade="BF"/>
            </w:tcBorders>
            <w:vAlign w:val="center"/>
          </w:tcPr>
          <w:p w14:paraId="53F2FAF8" w14:textId="2A046A1E" w:rsidR="00193E59" w:rsidRPr="006F4A83" w:rsidRDefault="00193E59" w:rsidP="00193E59">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6F4A83">
              <w:rPr>
                <w:rFonts w:ascii="Arial" w:hAnsi="Arial" w:cs="Arial"/>
                <w:bCs/>
                <w:color w:val="000000" w:themeColor="text1"/>
                <w:sz w:val="18"/>
                <w:szCs w:val="18"/>
              </w:rPr>
              <w:t>Packaged lunchmeat</w:t>
            </w:r>
          </w:p>
        </w:tc>
        <w:tc>
          <w:tcPr>
            <w:tcW w:w="1087" w:type="dxa"/>
          </w:tcPr>
          <w:p w14:paraId="2B92DCD4" w14:textId="40FA6F0E" w:rsidR="00193E59" w:rsidRPr="006F4A83" w:rsidRDefault="00193E59" w:rsidP="00193E5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C127EF">
              <w:rPr>
                <w:rFonts w:ascii="Arial" w:hAnsi="Arial" w:cs="Arial"/>
                <w:color w:val="000000"/>
                <w:sz w:val="18"/>
                <w:szCs w:val="18"/>
              </w:rPr>
              <w:t>$</w:t>
            </w:r>
            <w:r w:rsidR="0077039D">
              <w:rPr>
                <w:rFonts w:ascii="Arial" w:hAnsi="Arial" w:cs="Arial"/>
                <w:color w:val="000000"/>
                <w:sz w:val="18"/>
                <w:szCs w:val="18"/>
              </w:rPr>
              <w:t>6.12</w:t>
            </w:r>
          </w:p>
        </w:tc>
        <w:tc>
          <w:tcPr>
            <w:tcW w:w="1649" w:type="dxa"/>
          </w:tcPr>
          <w:p w14:paraId="3C2E7799" w14:textId="155EE312" w:rsidR="00193E59" w:rsidRPr="006F4A83" w:rsidRDefault="00193E59" w:rsidP="00193E5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DF314A">
              <w:rPr>
                <w:rFonts w:ascii="Arial" w:hAnsi="Arial" w:cs="Arial"/>
                <w:color w:val="000000"/>
                <w:sz w:val="18"/>
                <w:szCs w:val="18"/>
              </w:rPr>
              <w:t>+</w:t>
            </w:r>
            <w:r w:rsidR="0077039D">
              <w:rPr>
                <w:rFonts w:ascii="Arial" w:hAnsi="Arial" w:cs="Arial"/>
                <w:color w:val="000000"/>
                <w:sz w:val="18"/>
                <w:szCs w:val="18"/>
              </w:rPr>
              <w:t>2.9</w:t>
            </w:r>
            <w:r w:rsidRPr="00DF314A">
              <w:rPr>
                <w:rFonts w:ascii="Arial" w:hAnsi="Arial" w:cs="Arial"/>
                <w:color w:val="000000"/>
                <w:sz w:val="18"/>
                <w:szCs w:val="18"/>
              </w:rPr>
              <w:t>%</w:t>
            </w:r>
          </w:p>
        </w:tc>
      </w:tr>
      <w:tr w:rsidR="00193E59" w:rsidRPr="00C267F7" w14:paraId="275A5FB4" w14:textId="5DAF0677" w:rsidTr="00193E5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20" w:type="dxa"/>
            <w:shd w:val="clear" w:color="auto" w:fill="D9D9D9" w:themeFill="background1" w:themeFillShade="D9"/>
            <w:vAlign w:val="center"/>
          </w:tcPr>
          <w:p w14:paraId="40448AA1" w14:textId="77777777" w:rsidR="00193E59" w:rsidRPr="00F63B3F" w:rsidRDefault="00193E59" w:rsidP="00193E59">
            <w:pPr>
              <w:pStyle w:val="NoSpacing"/>
              <w:ind w:left="67"/>
              <w:rPr>
                <w:rFonts w:ascii="Arial" w:hAnsi="Arial" w:cs="Arial"/>
                <w:b w:val="0"/>
                <w:color w:val="000000" w:themeColor="text1"/>
                <w:sz w:val="18"/>
                <w:szCs w:val="18"/>
              </w:rPr>
            </w:pPr>
            <w:r w:rsidRPr="00F63B3F">
              <w:rPr>
                <w:rFonts w:ascii="Arial" w:hAnsi="Arial" w:cs="Arial"/>
                <w:b w:val="0"/>
                <w:color w:val="000000" w:themeColor="text1"/>
                <w:sz w:val="18"/>
                <w:szCs w:val="18"/>
              </w:rPr>
              <w:t>Dinner sausage</w:t>
            </w:r>
          </w:p>
        </w:tc>
        <w:tc>
          <w:tcPr>
            <w:tcW w:w="990" w:type="dxa"/>
            <w:shd w:val="clear" w:color="auto" w:fill="D9D9D9" w:themeFill="background1" w:themeFillShade="D9"/>
          </w:tcPr>
          <w:p w14:paraId="2087124A" w14:textId="45937626" w:rsidR="00193E59" w:rsidRPr="006F4A83" w:rsidRDefault="00193E59"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C127EF">
              <w:rPr>
                <w:rFonts w:ascii="Arial" w:hAnsi="Arial" w:cs="Arial"/>
                <w:color w:val="000000"/>
                <w:sz w:val="18"/>
                <w:szCs w:val="18"/>
              </w:rPr>
              <w:t>$</w:t>
            </w:r>
            <w:r w:rsidR="0077039D">
              <w:rPr>
                <w:rFonts w:ascii="Arial" w:hAnsi="Arial" w:cs="Arial"/>
                <w:color w:val="000000"/>
                <w:sz w:val="18"/>
                <w:szCs w:val="18"/>
              </w:rPr>
              <w:t>4.64</w:t>
            </w:r>
          </w:p>
        </w:tc>
        <w:tc>
          <w:tcPr>
            <w:tcW w:w="1800" w:type="dxa"/>
            <w:tcBorders>
              <w:right w:val="single" w:sz="4" w:space="0" w:color="31849B" w:themeColor="accent5" w:themeShade="BF"/>
            </w:tcBorders>
            <w:shd w:val="clear" w:color="auto" w:fill="D9D9D9" w:themeFill="background1" w:themeFillShade="D9"/>
          </w:tcPr>
          <w:p w14:paraId="78D56584" w14:textId="3AA31DBC" w:rsidR="00193E59" w:rsidRPr="006F4A83" w:rsidRDefault="00193E59"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DF314A">
              <w:rPr>
                <w:rFonts w:ascii="Arial" w:hAnsi="Arial" w:cs="Arial"/>
                <w:color w:val="000000"/>
                <w:sz w:val="18"/>
                <w:szCs w:val="18"/>
              </w:rPr>
              <w:t>+</w:t>
            </w:r>
            <w:r w:rsidR="0077039D">
              <w:rPr>
                <w:rFonts w:ascii="Arial" w:hAnsi="Arial" w:cs="Arial"/>
                <w:color w:val="000000"/>
                <w:sz w:val="18"/>
                <w:szCs w:val="18"/>
              </w:rPr>
              <w:t>1.7</w:t>
            </w:r>
            <w:r w:rsidRPr="00DF314A">
              <w:rPr>
                <w:rFonts w:ascii="Arial" w:hAnsi="Arial" w:cs="Arial"/>
                <w:color w:val="000000"/>
                <w:sz w:val="18"/>
                <w:szCs w:val="18"/>
              </w:rPr>
              <w:t>%</w:t>
            </w:r>
          </w:p>
        </w:tc>
        <w:tc>
          <w:tcPr>
            <w:tcW w:w="2160" w:type="dxa"/>
            <w:tcBorders>
              <w:left w:val="single" w:sz="4" w:space="0" w:color="31849B" w:themeColor="accent5" w:themeShade="BF"/>
            </w:tcBorders>
            <w:shd w:val="clear" w:color="auto" w:fill="D9D9D9" w:themeFill="background1" w:themeFillShade="D9"/>
            <w:vAlign w:val="center"/>
          </w:tcPr>
          <w:p w14:paraId="1E97F3ED" w14:textId="0667BFC4" w:rsidR="00193E59" w:rsidRPr="006F4A83" w:rsidRDefault="00193E59" w:rsidP="00193E59">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6F4A83">
              <w:rPr>
                <w:rFonts w:ascii="Arial" w:hAnsi="Arial" w:cs="Arial"/>
                <w:bCs/>
                <w:color w:val="000000" w:themeColor="text1"/>
                <w:sz w:val="18"/>
                <w:szCs w:val="18"/>
              </w:rPr>
              <w:t>Dinner sausage</w:t>
            </w:r>
          </w:p>
        </w:tc>
        <w:tc>
          <w:tcPr>
            <w:tcW w:w="1087" w:type="dxa"/>
            <w:shd w:val="clear" w:color="auto" w:fill="D9D9D9" w:themeFill="background1" w:themeFillShade="D9"/>
          </w:tcPr>
          <w:p w14:paraId="467585C4" w14:textId="56D8FD36" w:rsidR="00193E59" w:rsidRPr="006F4A83" w:rsidRDefault="00193E59"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C127EF">
              <w:rPr>
                <w:rFonts w:ascii="Arial" w:hAnsi="Arial" w:cs="Arial"/>
                <w:color w:val="000000"/>
                <w:sz w:val="18"/>
                <w:szCs w:val="18"/>
              </w:rPr>
              <w:t>$</w:t>
            </w:r>
            <w:r w:rsidR="0077039D">
              <w:rPr>
                <w:rFonts w:ascii="Arial" w:hAnsi="Arial" w:cs="Arial"/>
                <w:color w:val="000000"/>
                <w:sz w:val="18"/>
                <w:szCs w:val="18"/>
              </w:rPr>
              <w:t>4.57</w:t>
            </w:r>
          </w:p>
        </w:tc>
        <w:tc>
          <w:tcPr>
            <w:tcW w:w="1649" w:type="dxa"/>
            <w:shd w:val="clear" w:color="auto" w:fill="D9D9D9" w:themeFill="background1" w:themeFillShade="D9"/>
          </w:tcPr>
          <w:p w14:paraId="259992A9" w14:textId="0B26A632" w:rsidR="00193E59" w:rsidRPr="006F4A83" w:rsidRDefault="00193E59"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DF314A">
              <w:rPr>
                <w:rFonts w:ascii="Arial" w:hAnsi="Arial" w:cs="Arial"/>
                <w:color w:val="000000"/>
                <w:sz w:val="18"/>
                <w:szCs w:val="18"/>
              </w:rPr>
              <w:t>+</w:t>
            </w:r>
            <w:r w:rsidR="0077039D">
              <w:rPr>
                <w:rFonts w:ascii="Arial" w:hAnsi="Arial" w:cs="Arial"/>
                <w:color w:val="000000"/>
                <w:sz w:val="18"/>
                <w:szCs w:val="18"/>
              </w:rPr>
              <w:t>2.0</w:t>
            </w:r>
            <w:r w:rsidRPr="00DF314A">
              <w:rPr>
                <w:rFonts w:ascii="Arial" w:hAnsi="Arial" w:cs="Arial"/>
                <w:color w:val="000000"/>
                <w:sz w:val="18"/>
                <w:szCs w:val="18"/>
              </w:rPr>
              <w:t>%</w:t>
            </w:r>
          </w:p>
        </w:tc>
      </w:tr>
      <w:tr w:rsidR="00193E59" w:rsidRPr="00C267F7" w14:paraId="1800BB78" w14:textId="0F9C2ACC" w:rsidTr="00193E59">
        <w:trPr>
          <w:trHeight w:val="20"/>
        </w:trPr>
        <w:tc>
          <w:tcPr>
            <w:cnfStyle w:val="001000000000" w:firstRow="0" w:lastRow="0" w:firstColumn="1" w:lastColumn="0" w:oddVBand="0" w:evenVBand="0" w:oddHBand="0" w:evenHBand="0" w:firstRowFirstColumn="0" w:firstRowLastColumn="0" w:lastRowFirstColumn="0" w:lastRowLastColumn="0"/>
            <w:tcW w:w="2520" w:type="dxa"/>
            <w:vAlign w:val="center"/>
          </w:tcPr>
          <w:p w14:paraId="51164332" w14:textId="77777777" w:rsidR="00193E59" w:rsidRPr="00F63B3F" w:rsidRDefault="00193E59" w:rsidP="00193E59">
            <w:pPr>
              <w:pStyle w:val="NoSpacing"/>
              <w:ind w:left="67"/>
              <w:rPr>
                <w:rFonts w:ascii="Arial" w:hAnsi="Arial" w:cs="Arial"/>
                <w:b w:val="0"/>
                <w:color w:val="000000" w:themeColor="text1"/>
                <w:sz w:val="18"/>
                <w:szCs w:val="18"/>
              </w:rPr>
            </w:pPr>
            <w:r w:rsidRPr="00F63B3F">
              <w:rPr>
                <w:rFonts w:ascii="Arial" w:hAnsi="Arial" w:cs="Arial"/>
                <w:b w:val="0"/>
                <w:color w:val="000000" w:themeColor="text1"/>
                <w:sz w:val="18"/>
                <w:szCs w:val="18"/>
              </w:rPr>
              <w:t>Frankfurters</w:t>
            </w:r>
          </w:p>
        </w:tc>
        <w:tc>
          <w:tcPr>
            <w:tcW w:w="990" w:type="dxa"/>
          </w:tcPr>
          <w:p w14:paraId="5E1CC7F4" w14:textId="62876069" w:rsidR="00193E59" w:rsidRPr="006F4A83" w:rsidRDefault="00193E59" w:rsidP="00193E5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C127EF">
              <w:rPr>
                <w:rFonts w:ascii="Arial" w:hAnsi="Arial" w:cs="Arial"/>
                <w:color w:val="000000"/>
                <w:sz w:val="18"/>
                <w:szCs w:val="18"/>
              </w:rPr>
              <w:t>$</w:t>
            </w:r>
            <w:r w:rsidR="0077039D">
              <w:rPr>
                <w:rFonts w:ascii="Arial" w:hAnsi="Arial" w:cs="Arial"/>
                <w:color w:val="000000"/>
                <w:sz w:val="18"/>
                <w:szCs w:val="18"/>
              </w:rPr>
              <w:t>3.97</w:t>
            </w:r>
          </w:p>
        </w:tc>
        <w:tc>
          <w:tcPr>
            <w:tcW w:w="1800" w:type="dxa"/>
            <w:tcBorders>
              <w:right w:val="single" w:sz="4" w:space="0" w:color="31849B" w:themeColor="accent5" w:themeShade="BF"/>
            </w:tcBorders>
          </w:tcPr>
          <w:p w14:paraId="112FBFF9" w14:textId="040752F1" w:rsidR="00193E59" w:rsidRPr="006F4A83" w:rsidRDefault="00193E59" w:rsidP="00193E5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DF314A">
              <w:rPr>
                <w:rFonts w:ascii="Arial" w:hAnsi="Arial" w:cs="Arial"/>
                <w:color w:val="000000"/>
                <w:sz w:val="18"/>
                <w:szCs w:val="18"/>
              </w:rPr>
              <w:t>+</w:t>
            </w:r>
            <w:r w:rsidR="0077039D">
              <w:rPr>
                <w:rFonts w:ascii="Arial" w:hAnsi="Arial" w:cs="Arial"/>
                <w:color w:val="000000"/>
                <w:sz w:val="18"/>
                <w:szCs w:val="18"/>
              </w:rPr>
              <w:t>6.7</w:t>
            </w:r>
            <w:r w:rsidRPr="00DF314A">
              <w:rPr>
                <w:rFonts w:ascii="Arial" w:hAnsi="Arial" w:cs="Arial"/>
                <w:color w:val="000000"/>
                <w:sz w:val="18"/>
                <w:szCs w:val="18"/>
              </w:rPr>
              <w:t>%</w:t>
            </w:r>
          </w:p>
        </w:tc>
        <w:tc>
          <w:tcPr>
            <w:tcW w:w="2160" w:type="dxa"/>
            <w:tcBorders>
              <w:left w:val="single" w:sz="4" w:space="0" w:color="31849B" w:themeColor="accent5" w:themeShade="BF"/>
            </w:tcBorders>
            <w:vAlign w:val="center"/>
          </w:tcPr>
          <w:p w14:paraId="75229FEF" w14:textId="553484E3" w:rsidR="00193E59" w:rsidRPr="006F4A83" w:rsidRDefault="00193E59" w:rsidP="00193E59">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6F4A83">
              <w:rPr>
                <w:rFonts w:ascii="Arial" w:hAnsi="Arial" w:cs="Arial"/>
                <w:bCs/>
                <w:color w:val="000000" w:themeColor="text1"/>
                <w:sz w:val="18"/>
                <w:szCs w:val="18"/>
              </w:rPr>
              <w:t>Frankfurters</w:t>
            </w:r>
          </w:p>
        </w:tc>
        <w:tc>
          <w:tcPr>
            <w:tcW w:w="1087" w:type="dxa"/>
          </w:tcPr>
          <w:p w14:paraId="4C5E8D22" w14:textId="533C443C" w:rsidR="00193E59" w:rsidRPr="006F4A83" w:rsidRDefault="00193E59" w:rsidP="00193E5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C127EF">
              <w:rPr>
                <w:rFonts w:ascii="Arial" w:hAnsi="Arial" w:cs="Arial"/>
                <w:color w:val="000000"/>
                <w:sz w:val="18"/>
                <w:szCs w:val="18"/>
              </w:rPr>
              <w:t>$</w:t>
            </w:r>
            <w:r w:rsidR="0077039D">
              <w:rPr>
                <w:rFonts w:ascii="Arial" w:hAnsi="Arial" w:cs="Arial"/>
                <w:color w:val="000000"/>
                <w:sz w:val="18"/>
                <w:szCs w:val="18"/>
              </w:rPr>
              <w:t>3.85</w:t>
            </w:r>
          </w:p>
        </w:tc>
        <w:tc>
          <w:tcPr>
            <w:tcW w:w="1649" w:type="dxa"/>
          </w:tcPr>
          <w:p w14:paraId="62592E30" w14:textId="3E0E1B7C" w:rsidR="00193E59" w:rsidRPr="006F4A83" w:rsidRDefault="00193E59" w:rsidP="00193E5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DF314A">
              <w:rPr>
                <w:rFonts w:ascii="Arial" w:hAnsi="Arial" w:cs="Arial"/>
                <w:color w:val="000000"/>
                <w:sz w:val="18"/>
                <w:szCs w:val="18"/>
              </w:rPr>
              <w:t>+</w:t>
            </w:r>
            <w:r w:rsidR="0077039D">
              <w:rPr>
                <w:rFonts w:ascii="Arial" w:hAnsi="Arial" w:cs="Arial"/>
                <w:color w:val="000000"/>
                <w:sz w:val="18"/>
                <w:szCs w:val="18"/>
              </w:rPr>
              <w:t>6.2</w:t>
            </w:r>
            <w:r w:rsidRPr="00DF314A">
              <w:rPr>
                <w:rFonts w:ascii="Arial" w:hAnsi="Arial" w:cs="Arial"/>
                <w:color w:val="000000"/>
                <w:sz w:val="18"/>
                <w:szCs w:val="18"/>
              </w:rPr>
              <w:t>%</w:t>
            </w:r>
          </w:p>
        </w:tc>
      </w:tr>
      <w:tr w:rsidR="00193E59" w:rsidRPr="00C267F7" w14:paraId="4C48DCB9" w14:textId="124DC34D" w:rsidTr="00193E5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20" w:type="dxa"/>
            <w:shd w:val="clear" w:color="auto" w:fill="D9D9D9" w:themeFill="background1" w:themeFillShade="D9"/>
            <w:vAlign w:val="center"/>
          </w:tcPr>
          <w:p w14:paraId="6F249CA5" w14:textId="77777777" w:rsidR="00193E59" w:rsidRPr="00FA2467" w:rsidRDefault="00193E59" w:rsidP="00193E59">
            <w:pPr>
              <w:pStyle w:val="NoSpacing"/>
              <w:ind w:left="67"/>
              <w:rPr>
                <w:rFonts w:ascii="Arial" w:hAnsi="Arial" w:cs="Arial"/>
                <w:b w:val="0"/>
                <w:color w:val="000000" w:themeColor="text1"/>
                <w:sz w:val="18"/>
                <w:szCs w:val="18"/>
              </w:rPr>
            </w:pPr>
            <w:r w:rsidRPr="00FA2467">
              <w:rPr>
                <w:rFonts w:ascii="Arial" w:hAnsi="Arial" w:cs="Arial"/>
                <w:b w:val="0"/>
                <w:color w:val="000000" w:themeColor="text1"/>
                <w:sz w:val="18"/>
                <w:szCs w:val="18"/>
              </w:rPr>
              <w:t>Breakfast sausage</w:t>
            </w:r>
          </w:p>
        </w:tc>
        <w:tc>
          <w:tcPr>
            <w:tcW w:w="990" w:type="dxa"/>
            <w:shd w:val="clear" w:color="auto" w:fill="D9D9D9" w:themeFill="background1" w:themeFillShade="D9"/>
          </w:tcPr>
          <w:p w14:paraId="6A9A4CAA" w14:textId="15FFE0F9" w:rsidR="00193E59" w:rsidRPr="006F4A83" w:rsidRDefault="00193E59"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C127EF">
              <w:rPr>
                <w:rFonts w:ascii="Arial" w:hAnsi="Arial" w:cs="Arial"/>
                <w:color w:val="000000"/>
                <w:sz w:val="18"/>
                <w:szCs w:val="18"/>
              </w:rPr>
              <w:t>$</w:t>
            </w:r>
            <w:r w:rsidR="0077039D">
              <w:rPr>
                <w:rFonts w:ascii="Arial" w:hAnsi="Arial" w:cs="Arial"/>
                <w:color w:val="000000"/>
                <w:sz w:val="18"/>
                <w:szCs w:val="18"/>
              </w:rPr>
              <w:t>4.69</w:t>
            </w:r>
          </w:p>
        </w:tc>
        <w:tc>
          <w:tcPr>
            <w:tcW w:w="1800" w:type="dxa"/>
            <w:tcBorders>
              <w:right w:val="single" w:sz="4" w:space="0" w:color="31849B" w:themeColor="accent5" w:themeShade="BF"/>
            </w:tcBorders>
            <w:shd w:val="clear" w:color="auto" w:fill="D9D9D9" w:themeFill="background1" w:themeFillShade="D9"/>
          </w:tcPr>
          <w:p w14:paraId="3C7C1729" w14:textId="5DB4D3FE" w:rsidR="00193E59" w:rsidRPr="006F4A83" w:rsidRDefault="0077039D"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-3.6</w:t>
            </w:r>
            <w:r w:rsidR="00193E59" w:rsidRPr="00DF314A">
              <w:rPr>
                <w:rFonts w:ascii="Arial" w:hAnsi="Arial" w:cs="Arial"/>
                <w:color w:val="000000"/>
                <w:sz w:val="18"/>
                <w:szCs w:val="18"/>
              </w:rPr>
              <w:t>%</w:t>
            </w:r>
          </w:p>
        </w:tc>
        <w:tc>
          <w:tcPr>
            <w:tcW w:w="2160" w:type="dxa"/>
            <w:tcBorders>
              <w:left w:val="single" w:sz="4" w:space="0" w:color="31849B" w:themeColor="accent5" w:themeShade="BF"/>
            </w:tcBorders>
            <w:shd w:val="clear" w:color="auto" w:fill="D9D9D9" w:themeFill="background1" w:themeFillShade="D9"/>
            <w:vAlign w:val="center"/>
          </w:tcPr>
          <w:p w14:paraId="4C4A2EF9" w14:textId="5ADAEBA1" w:rsidR="00193E59" w:rsidRPr="006F4A83" w:rsidRDefault="00193E59" w:rsidP="00193E59">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6F4A83">
              <w:rPr>
                <w:rFonts w:ascii="Arial" w:hAnsi="Arial" w:cs="Arial"/>
                <w:bCs/>
                <w:color w:val="000000" w:themeColor="text1"/>
                <w:sz w:val="18"/>
                <w:szCs w:val="18"/>
              </w:rPr>
              <w:t>Breakfast sausage</w:t>
            </w:r>
          </w:p>
        </w:tc>
        <w:tc>
          <w:tcPr>
            <w:tcW w:w="1087" w:type="dxa"/>
            <w:shd w:val="clear" w:color="auto" w:fill="D9D9D9" w:themeFill="background1" w:themeFillShade="D9"/>
          </w:tcPr>
          <w:p w14:paraId="54F8E3AB" w14:textId="6918ABCA" w:rsidR="00193E59" w:rsidRPr="006F4A83" w:rsidRDefault="00193E59"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C127EF">
              <w:rPr>
                <w:rFonts w:ascii="Arial" w:hAnsi="Arial" w:cs="Arial"/>
                <w:color w:val="000000"/>
                <w:sz w:val="18"/>
                <w:szCs w:val="18"/>
              </w:rPr>
              <w:t>$</w:t>
            </w:r>
            <w:r w:rsidR="0077039D">
              <w:rPr>
                <w:rFonts w:ascii="Arial" w:hAnsi="Arial" w:cs="Arial"/>
                <w:color w:val="000000"/>
                <w:sz w:val="18"/>
                <w:szCs w:val="18"/>
              </w:rPr>
              <w:t>4.76</w:t>
            </w:r>
          </w:p>
        </w:tc>
        <w:tc>
          <w:tcPr>
            <w:tcW w:w="1649" w:type="dxa"/>
            <w:shd w:val="clear" w:color="auto" w:fill="D9D9D9" w:themeFill="background1" w:themeFillShade="D9"/>
          </w:tcPr>
          <w:p w14:paraId="6B42EF76" w14:textId="0360BC33" w:rsidR="00193E59" w:rsidRPr="006F4A83" w:rsidRDefault="00193E59"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DF314A">
              <w:rPr>
                <w:rFonts w:ascii="Arial" w:hAnsi="Arial" w:cs="Arial"/>
                <w:color w:val="000000"/>
                <w:sz w:val="18"/>
                <w:szCs w:val="18"/>
              </w:rPr>
              <w:t>+</w:t>
            </w:r>
            <w:r w:rsidR="0077039D">
              <w:rPr>
                <w:rFonts w:ascii="Arial" w:hAnsi="Arial" w:cs="Arial"/>
                <w:color w:val="000000"/>
                <w:sz w:val="18"/>
                <w:szCs w:val="18"/>
              </w:rPr>
              <w:t>0.1</w:t>
            </w:r>
            <w:r w:rsidRPr="00DF314A">
              <w:rPr>
                <w:rFonts w:ascii="Arial" w:hAnsi="Arial" w:cs="Arial"/>
                <w:color w:val="000000"/>
                <w:sz w:val="18"/>
                <w:szCs w:val="18"/>
              </w:rPr>
              <w:t>%</w:t>
            </w:r>
          </w:p>
        </w:tc>
      </w:tr>
      <w:tr w:rsidR="00193E59" w:rsidRPr="00C267F7" w14:paraId="4CA2A58E" w14:textId="01E961A1" w:rsidTr="00193E59">
        <w:trPr>
          <w:trHeight w:val="20"/>
        </w:trPr>
        <w:tc>
          <w:tcPr>
            <w:cnfStyle w:val="001000000000" w:firstRow="0" w:lastRow="0" w:firstColumn="1" w:lastColumn="0" w:oddVBand="0" w:evenVBand="0" w:oddHBand="0" w:evenHBand="0" w:firstRowFirstColumn="0" w:firstRowLastColumn="0" w:lastRowFirstColumn="0" w:lastRowLastColumn="0"/>
            <w:tcW w:w="2520" w:type="dxa"/>
            <w:vAlign w:val="center"/>
          </w:tcPr>
          <w:p w14:paraId="22488C4F" w14:textId="77777777" w:rsidR="00193E59" w:rsidRPr="00FA2467" w:rsidRDefault="00193E59" w:rsidP="00193E59">
            <w:pPr>
              <w:pStyle w:val="NoSpacing"/>
              <w:ind w:left="67"/>
              <w:rPr>
                <w:rFonts w:ascii="Arial" w:hAnsi="Arial" w:cs="Arial"/>
                <w:b w:val="0"/>
                <w:color w:val="000000" w:themeColor="text1"/>
                <w:sz w:val="18"/>
                <w:szCs w:val="18"/>
              </w:rPr>
            </w:pPr>
            <w:r w:rsidRPr="00FA2467">
              <w:rPr>
                <w:rFonts w:ascii="Arial" w:hAnsi="Arial" w:cs="Arial"/>
                <w:b w:val="0"/>
                <w:color w:val="000000" w:themeColor="text1"/>
                <w:sz w:val="18"/>
                <w:szCs w:val="18"/>
              </w:rPr>
              <w:t>Smoked ham</w:t>
            </w:r>
          </w:p>
        </w:tc>
        <w:tc>
          <w:tcPr>
            <w:tcW w:w="990" w:type="dxa"/>
          </w:tcPr>
          <w:p w14:paraId="543B8A24" w14:textId="1F50F43F" w:rsidR="00193E59" w:rsidRPr="006F4A83" w:rsidRDefault="00193E59" w:rsidP="00193E5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C127EF">
              <w:rPr>
                <w:rFonts w:ascii="Arial" w:hAnsi="Arial" w:cs="Arial"/>
                <w:color w:val="000000"/>
                <w:sz w:val="18"/>
                <w:szCs w:val="18"/>
              </w:rPr>
              <w:t>$</w:t>
            </w:r>
            <w:r w:rsidR="0077039D">
              <w:rPr>
                <w:rFonts w:ascii="Arial" w:hAnsi="Arial" w:cs="Arial"/>
                <w:color w:val="000000"/>
                <w:sz w:val="18"/>
                <w:szCs w:val="18"/>
              </w:rPr>
              <w:t>2.87</w:t>
            </w:r>
          </w:p>
        </w:tc>
        <w:tc>
          <w:tcPr>
            <w:tcW w:w="1800" w:type="dxa"/>
            <w:tcBorders>
              <w:right w:val="single" w:sz="4" w:space="0" w:color="31849B" w:themeColor="accent5" w:themeShade="BF"/>
            </w:tcBorders>
          </w:tcPr>
          <w:p w14:paraId="0B2F5FF2" w14:textId="7C2AAAC0" w:rsidR="00193E59" w:rsidRPr="006F4A83" w:rsidRDefault="0077039D" w:rsidP="00193E5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-29.2</w:t>
            </w:r>
            <w:r w:rsidR="00193E59" w:rsidRPr="00DF314A">
              <w:rPr>
                <w:rFonts w:ascii="Arial" w:hAnsi="Arial" w:cs="Arial"/>
                <w:color w:val="000000"/>
                <w:sz w:val="18"/>
                <w:szCs w:val="18"/>
              </w:rPr>
              <w:t>%</w:t>
            </w:r>
          </w:p>
        </w:tc>
        <w:tc>
          <w:tcPr>
            <w:tcW w:w="2160" w:type="dxa"/>
            <w:tcBorders>
              <w:left w:val="single" w:sz="4" w:space="0" w:color="31849B" w:themeColor="accent5" w:themeShade="BF"/>
            </w:tcBorders>
            <w:vAlign w:val="center"/>
          </w:tcPr>
          <w:p w14:paraId="7153165B" w14:textId="1B8E604C" w:rsidR="00193E59" w:rsidRPr="006F4A83" w:rsidRDefault="00193E59" w:rsidP="00193E59">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6F4A83">
              <w:rPr>
                <w:rFonts w:ascii="Arial" w:hAnsi="Arial" w:cs="Arial"/>
                <w:bCs/>
                <w:color w:val="000000" w:themeColor="text1"/>
                <w:sz w:val="18"/>
                <w:szCs w:val="18"/>
              </w:rPr>
              <w:t>Smoked ham</w:t>
            </w:r>
          </w:p>
        </w:tc>
        <w:tc>
          <w:tcPr>
            <w:tcW w:w="1087" w:type="dxa"/>
          </w:tcPr>
          <w:p w14:paraId="1B8D9C19" w14:textId="7822A722" w:rsidR="00193E59" w:rsidRPr="006F4A83" w:rsidRDefault="00193E59" w:rsidP="00193E5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C127EF">
              <w:rPr>
                <w:rFonts w:ascii="Arial" w:hAnsi="Arial" w:cs="Arial"/>
                <w:color w:val="000000"/>
                <w:sz w:val="18"/>
                <w:szCs w:val="18"/>
              </w:rPr>
              <w:t>$</w:t>
            </w:r>
            <w:r w:rsidR="0077039D">
              <w:rPr>
                <w:rFonts w:ascii="Arial" w:hAnsi="Arial" w:cs="Arial"/>
                <w:color w:val="000000"/>
                <w:sz w:val="18"/>
                <w:szCs w:val="18"/>
              </w:rPr>
              <w:t>3.00</w:t>
            </w:r>
          </w:p>
        </w:tc>
        <w:tc>
          <w:tcPr>
            <w:tcW w:w="1649" w:type="dxa"/>
          </w:tcPr>
          <w:p w14:paraId="22AA1904" w14:textId="2F13C86E" w:rsidR="00193E59" w:rsidRPr="006F4A83" w:rsidRDefault="0077039D" w:rsidP="00193E5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-4.4</w:t>
            </w:r>
            <w:r w:rsidR="00193E59" w:rsidRPr="00DF314A">
              <w:rPr>
                <w:rFonts w:ascii="Arial" w:hAnsi="Arial" w:cs="Arial"/>
                <w:color w:val="000000"/>
                <w:sz w:val="18"/>
                <w:szCs w:val="18"/>
              </w:rPr>
              <w:t>%</w:t>
            </w:r>
          </w:p>
        </w:tc>
      </w:tr>
      <w:tr w:rsidR="00193E59" w:rsidRPr="00C267F7" w14:paraId="20FBCD3E" w14:textId="728E6F30" w:rsidTr="00193E5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20" w:type="dxa"/>
            <w:shd w:val="clear" w:color="auto" w:fill="D9D9D9" w:themeFill="background1" w:themeFillShade="D9"/>
            <w:vAlign w:val="center"/>
          </w:tcPr>
          <w:p w14:paraId="16B60BC2" w14:textId="77777777" w:rsidR="00193E59" w:rsidRPr="00FA2467" w:rsidRDefault="00193E59" w:rsidP="00193E59">
            <w:pPr>
              <w:pStyle w:val="NoSpacing"/>
              <w:ind w:left="67"/>
              <w:rPr>
                <w:rFonts w:ascii="Arial" w:hAnsi="Arial" w:cs="Arial"/>
                <w:b w:val="0"/>
                <w:color w:val="000000" w:themeColor="text1"/>
                <w:sz w:val="18"/>
                <w:szCs w:val="18"/>
              </w:rPr>
            </w:pPr>
            <w:r w:rsidRPr="00FA2467">
              <w:rPr>
                <w:rFonts w:ascii="Arial" w:hAnsi="Arial" w:cs="Arial"/>
                <w:b w:val="0"/>
                <w:color w:val="000000" w:themeColor="text1"/>
                <w:sz w:val="18"/>
                <w:szCs w:val="18"/>
              </w:rPr>
              <w:t>Processed chicken</w:t>
            </w:r>
          </w:p>
        </w:tc>
        <w:tc>
          <w:tcPr>
            <w:tcW w:w="990" w:type="dxa"/>
            <w:shd w:val="clear" w:color="auto" w:fill="D9D9D9" w:themeFill="background1" w:themeFillShade="D9"/>
          </w:tcPr>
          <w:p w14:paraId="60EDDCC7" w14:textId="219E1BD5" w:rsidR="00193E59" w:rsidRPr="006F4A83" w:rsidRDefault="00193E59"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C127EF">
              <w:rPr>
                <w:rFonts w:ascii="Arial" w:hAnsi="Arial" w:cs="Arial"/>
                <w:color w:val="000000"/>
                <w:sz w:val="18"/>
                <w:szCs w:val="18"/>
              </w:rPr>
              <w:t>$</w:t>
            </w:r>
            <w:r w:rsidR="0077039D">
              <w:rPr>
                <w:rFonts w:ascii="Arial" w:hAnsi="Arial" w:cs="Arial"/>
                <w:color w:val="000000"/>
                <w:sz w:val="18"/>
                <w:szCs w:val="18"/>
              </w:rPr>
              <w:t>6.37</w:t>
            </w:r>
          </w:p>
        </w:tc>
        <w:tc>
          <w:tcPr>
            <w:tcW w:w="1800" w:type="dxa"/>
            <w:tcBorders>
              <w:right w:val="single" w:sz="4" w:space="0" w:color="31849B" w:themeColor="accent5" w:themeShade="BF"/>
            </w:tcBorders>
            <w:shd w:val="clear" w:color="auto" w:fill="D9D9D9" w:themeFill="background1" w:themeFillShade="D9"/>
          </w:tcPr>
          <w:p w14:paraId="203BAD30" w14:textId="2287E4E6" w:rsidR="00193E59" w:rsidRPr="006F4A83" w:rsidRDefault="0077039D"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-4.3</w:t>
            </w:r>
            <w:r w:rsidR="00193E59" w:rsidRPr="00DF314A">
              <w:rPr>
                <w:rFonts w:ascii="Arial" w:hAnsi="Arial" w:cs="Arial"/>
                <w:color w:val="000000"/>
                <w:sz w:val="18"/>
                <w:szCs w:val="18"/>
              </w:rPr>
              <w:t>%</w:t>
            </w:r>
          </w:p>
        </w:tc>
        <w:tc>
          <w:tcPr>
            <w:tcW w:w="2160" w:type="dxa"/>
            <w:tcBorders>
              <w:left w:val="single" w:sz="4" w:space="0" w:color="31849B" w:themeColor="accent5" w:themeShade="BF"/>
            </w:tcBorders>
            <w:shd w:val="clear" w:color="auto" w:fill="D9D9D9" w:themeFill="background1" w:themeFillShade="D9"/>
            <w:vAlign w:val="center"/>
          </w:tcPr>
          <w:p w14:paraId="5D4C823E" w14:textId="40111129" w:rsidR="00193E59" w:rsidRPr="006F4A83" w:rsidRDefault="00193E59" w:rsidP="00193E59">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6F4A83">
              <w:rPr>
                <w:rFonts w:ascii="Arial" w:hAnsi="Arial" w:cs="Arial"/>
                <w:bCs/>
                <w:color w:val="000000" w:themeColor="text1"/>
                <w:sz w:val="18"/>
                <w:szCs w:val="18"/>
              </w:rPr>
              <w:t>Processed chicken</w:t>
            </w:r>
          </w:p>
        </w:tc>
        <w:tc>
          <w:tcPr>
            <w:tcW w:w="1087" w:type="dxa"/>
            <w:shd w:val="clear" w:color="auto" w:fill="D9D9D9" w:themeFill="background1" w:themeFillShade="D9"/>
          </w:tcPr>
          <w:p w14:paraId="5B2D5D76" w14:textId="0B58CBD6" w:rsidR="00193E59" w:rsidRPr="006F4A83" w:rsidRDefault="00193E59"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C127EF">
              <w:rPr>
                <w:rFonts w:ascii="Arial" w:hAnsi="Arial" w:cs="Arial"/>
                <w:color w:val="000000"/>
                <w:sz w:val="18"/>
                <w:szCs w:val="18"/>
              </w:rPr>
              <w:t>$</w:t>
            </w:r>
            <w:r w:rsidR="0077039D">
              <w:rPr>
                <w:rFonts w:ascii="Arial" w:hAnsi="Arial" w:cs="Arial"/>
                <w:color w:val="000000"/>
                <w:sz w:val="18"/>
                <w:szCs w:val="18"/>
              </w:rPr>
              <w:t>6.39</w:t>
            </w:r>
          </w:p>
        </w:tc>
        <w:tc>
          <w:tcPr>
            <w:tcW w:w="1649" w:type="dxa"/>
            <w:shd w:val="clear" w:color="auto" w:fill="D9D9D9" w:themeFill="background1" w:themeFillShade="D9"/>
          </w:tcPr>
          <w:p w14:paraId="76676902" w14:textId="790F28B9" w:rsidR="00193E59" w:rsidRPr="006F4A83" w:rsidRDefault="0077039D"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-0.8</w:t>
            </w:r>
            <w:r w:rsidR="00193E59" w:rsidRPr="00DF314A">
              <w:rPr>
                <w:rFonts w:ascii="Arial" w:hAnsi="Arial" w:cs="Arial"/>
                <w:color w:val="000000"/>
                <w:sz w:val="18"/>
                <w:szCs w:val="18"/>
              </w:rPr>
              <w:t>%</w:t>
            </w:r>
          </w:p>
        </w:tc>
      </w:tr>
    </w:tbl>
    <w:p w14:paraId="76FD9724" w14:textId="10DC201E" w:rsidR="00BB6906" w:rsidRPr="001B04EA" w:rsidRDefault="00BB6906" w:rsidP="003C65CF">
      <w:pPr>
        <w:pStyle w:val="NoSpacing"/>
        <w:rPr>
          <w:rFonts w:ascii="Arial" w:hAnsi="Arial" w:cs="Arial"/>
          <w:sz w:val="8"/>
          <w:szCs w:val="8"/>
        </w:rPr>
      </w:pPr>
    </w:p>
    <w:p w14:paraId="799C3530" w14:textId="1BBF0E6B" w:rsidR="00BB6906" w:rsidRDefault="00BB6906" w:rsidP="00BB6906">
      <w:pPr>
        <w:pStyle w:val="NoSpacing"/>
        <w:rPr>
          <w:rFonts w:ascii="Arial" w:hAnsi="Arial" w:cs="Arial"/>
          <w:sz w:val="16"/>
          <w:szCs w:val="16"/>
        </w:rPr>
      </w:pPr>
      <w:r>
        <w:rPr>
          <w:rFonts w:ascii="Arial" w:hAnsi="Arial" w:cs="Arial"/>
          <w:sz w:val="16"/>
          <w:szCs w:val="16"/>
        </w:rPr>
        <w:t xml:space="preserve">Source: </w:t>
      </w:r>
      <w:r w:rsidR="00FB48FE">
        <w:rPr>
          <w:rFonts w:ascii="Arial" w:hAnsi="Arial" w:cs="Arial"/>
          <w:sz w:val="16"/>
          <w:szCs w:val="16"/>
        </w:rPr>
        <w:t>Circana</w:t>
      </w:r>
      <w:r>
        <w:rPr>
          <w:rFonts w:ascii="Arial" w:hAnsi="Arial" w:cs="Arial"/>
          <w:sz w:val="16"/>
          <w:szCs w:val="16"/>
        </w:rPr>
        <w:t xml:space="preserve">, Integrated Fresh, Total US, </w:t>
      </w:r>
      <w:r w:rsidR="00D85BA4">
        <w:rPr>
          <w:rFonts w:ascii="Arial" w:hAnsi="Arial" w:cs="Arial"/>
          <w:sz w:val="16"/>
          <w:szCs w:val="16"/>
        </w:rPr>
        <w:t>MULO+</w:t>
      </w:r>
    </w:p>
    <w:p w14:paraId="4C6C40C1" w14:textId="77777777" w:rsidR="00947B9F" w:rsidRDefault="00947B9F" w:rsidP="00BB6906">
      <w:pPr>
        <w:pStyle w:val="NoSpacing"/>
        <w:rPr>
          <w:rFonts w:ascii="Arial" w:hAnsi="Arial" w:cs="Arial"/>
          <w:sz w:val="16"/>
          <w:szCs w:val="16"/>
        </w:rPr>
      </w:pPr>
    </w:p>
    <w:p w14:paraId="26BADD4E" w14:textId="77777777" w:rsidR="00433655" w:rsidRDefault="00433655" w:rsidP="00BB6906">
      <w:pPr>
        <w:pStyle w:val="NoSpacing"/>
        <w:rPr>
          <w:rFonts w:ascii="Arial" w:hAnsi="Arial" w:cs="Arial"/>
          <w:sz w:val="16"/>
          <w:szCs w:val="16"/>
        </w:rPr>
      </w:pPr>
    </w:p>
    <w:p w14:paraId="4919507E" w14:textId="77777777" w:rsidR="00947B9F" w:rsidRPr="00383D77" w:rsidRDefault="00947B9F" w:rsidP="00947B9F">
      <w:pPr>
        <w:pStyle w:val="NoSpacing"/>
        <w:rPr>
          <w:rFonts w:ascii="Arial" w:hAnsi="Arial" w:cs="Arial"/>
          <w:b/>
          <w:color w:val="595959" w:themeColor="text1" w:themeTint="A6"/>
          <w:sz w:val="24"/>
          <w:szCs w:val="24"/>
        </w:rPr>
      </w:pPr>
      <w:r w:rsidRPr="00383D77">
        <w:rPr>
          <w:rFonts w:ascii="Arial" w:hAnsi="Arial" w:cs="Arial"/>
          <w:b/>
          <w:color w:val="595959" w:themeColor="text1" w:themeTint="A6"/>
          <w:sz w:val="24"/>
          <w:szCs w:val="24"/>
        </w:rPr>
        <w:t>Assortment</w:t>
      </w:r>
    </w:p>
    <w:p w14:paraId="6B31D8F3" w14:textId="48A00F73" w:rsidR="00947B9F" w:rsidRDefault="00947B9F" w:rsidP="00947B9F">
      <w:pPr>
        <w:spacing w:after="0" w:line="240" w:lineRule="auto"/>
        <w:rPr>
          <w:rFonts w:ascii="Arial" w:hAnsi="Arial" w:cs="Arial"/>
          <w:sz w:val="20"/>
          <w:szCs w:val="20"/>
        </w:rPr>
      </w:pPr>
      <w:r>
        <w:rPr>
          <w:rFonts w:ascii="Arial" w:hAnsi="Arial" w:cs="Arial"/>
          <w:sz w:val="20"/>
          <w:szCs w:val="20"/>
        </w:rPr>
        <w:t xml:space="preserve">After an expanded assortment during the holiday months, </w:t>
      </w:r>
      <w:r w:rsidR="00193E59">
        <w:rPr>
          <w:rFonts w:ascii="Arial" w:hAnsi="Arial" w:cs="Arial"/>
          <w:sz w:val="20"/>
          <w:szCs w:val="20"/>
        </w:rPr>
        <w:t>March</w:t>
      </w:r>
      <w:r>
        <w:rPr>
          <w:rFonts w:ascii="Arial" w:hAnsi="Arial" w:cs="Arial"/>
          <w:sz w:val="20"/>
          <w:szCs w:val="20"/>
        </w:rPr>
        <w:t xml:space="preserve"> assortment fell back to everyday levels, with an average of </w:t>
      </w:r>
      <w:r w:rsidR="005312AA">
        <w:rPr>
          <w:rFonts w:ascii="Arial" w:hAnsi="Arial" w:cs="Arial"/>
          <w:sz w:val="20"/>
          <w:szCs w:val="20"/>
        </w:rPr>
        <w:t>457</w:t>
      </w:r>
      <w:r>
        <w:rPr>
          <w:rFonts w:ascii="Arial" w:hAnsi="Arial" w:cs="Arial"/>
          <w:sz w:val="20"/>
          <w:szCs w:val="20"/>
        </w:rPr>
        <w:t xml:space="preserve"> items per store, per week. </w:t>
      </w:r>
    </w:p>
    <w:p w14:paraId="725CC0AF" w14:textId="77777777" w:rsidR="00947B9F" w:rsidRPr="00C36D0B" w:rsidRDefault="00947B9F" w:rsidP="00947B9F">
      <w:pPr>
        <w:pStyle w:val="NoSpacing"/>
        <w:rPr>
          <w:rFonts w:ascii="Arial" w:hAnsi="Arial" w:cs="Arial"/>
          <w:sz w:val="10"/>
          <w:szCs w:val="10"/>
        </w:rPr>
      </w:pPr>
    </w:p>
    <w:tbl>
      <w:tblPr>
        <w:tblStyle w:val="LightShading-Accent5"/>
        <w:tblW w:w="10330" w:type="dxa"/>
        <w:tblLayout w:type="fixed"/>
        <w:tblLook w:val="04A0" w:firstRow="1" w:lastRow="0" w:firstColumn="1" w:lastColumn="0" w:noHBand="0" w:noVBand="1"/>
      </w:tblPr>
      <w:tblGrid>
        <w:gridCol w:w="1601"/>
        <w:gridCol w:w="1091"/>
        <w:gridCol w:w="1091"/>
        <w:gridCol w:w="1091"/>
        <w:gridCol w:w="1091"/>
        <w:gridCol w:w="1091"/>
        <w:gridCol w:w="1091"/>
        <w:gridCol w:w="1091"/>
        <w:gridCol w:w="1092"/>
      </w:tblGrid>
      <w:tr w:rsidR="00947B9F" w14:paraId="29B5B53D" w14:textId="77777777" w:rsidTr="00193E59">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601" w:type="dxa"/>
            <w:tcBorders>
              <w:top w:val="nil"/>
            </w:tcBorders>
            <w:shd w:val="clear" w:color="auto" w:fill="17365D" w:themeFill="text2" w:themeFillShade="BF"/>
          </w:tcPr>
          <w:p w14:paraId="6B58F4AE" w14:textId="77777777" w:rsidR="00947B9F" w:rsidRPr="00E23819" w:rsidRDefault="00947B9F" w:rsidP="00193E59">
            <w:pPr>
              <w:pStyle w:val="NoSpacing"/>
              <w:jc w:val="right"/>
              <w:rPr>
                <w:rFonts w:ascii="Arial" w:hAnsi="Arial" w:cs="Arial"/>
                <w:color w:val="FFFFFF" w:themeColor="background1"/>
                <w:sz w:val="18"/>
                <w:szCs w:val="20"/>
              </w:rPr>
            </w:pPr>
          </w:p>
        </w:tc>
        <w:tc>
          <w:tcPr>
            <w:tcW w:w="1091" w:type="dxa"/>
            <w:tcBorders>
              <w:top w:val="nil"/>
            </w:tcBorders>
            <w:shd w:val="clear" w:color="auto" w:fill="17365D" w:themeFill="text2" w:themeFillShade="BF"/>
            <w:vAlign w:val="center"/>
          </w:tcPr>
          <w:p w14:paraId="4EAFA1D5" w14:textId="77777777" w:rsidR="00947B9F" w:rsidRPr="00481E0D" w:rsidRDefault="00947B9F" w:rsidP="00193E59">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481E0D">
              <w:rPr>
                <w:rFonts w:ascii="Arial" w:hAnsi="Arial" w:cs="Arial"/>
                <w:color w:val="FFFFFF" w:themeColor="background1"/>
                <w:sz w:val="18"/>
                <w:szCs w:val="18"/>
              </w:rPr>
              <w:t>2020</w:t>
            </w:r>
          </w:p>
        </w:tc>
        <w:tc>
          <w:tcPr>
            <w:tcW w:w="1091" w:type="dxa"/>
            <w:tcBorders>
              <w:top w:val="nil"/>
            </w:tcBorders>
            <w:shd w:val="clear" w:color="auto" w:fill="17365D" w:themeFill="text2" w:themeFillShade="BF"/>
            <w:vAlign w:val="center"/>
          </w:tcPr>
          <w:p w14:paraId="42E05480" w14:textId="77777777" w:rsidR="00947B9F" w:rsidRPr="00481E0D" w:rsidRDefault="00947B9F" w:rsidP="00193E59">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481E0D">
              <w:rPr>
                <w:rFonts w:ascii="Arial" w:hAnsi="Arial" w:cs="Arial"/>
                <w:color w:val="FFFFFF" w:themeColor="background1"/>
                <w:sz w:val="18"/>
                <w:szCs w:val="18"/>
              </w:rPr>
              <w:t>2021</w:t>
            </w:r>
          </w:p>
        </w:tc>
        <w:tc>
          <w:tcPr>
            <w:tcW w:w="1091" w:type="dxa"/>
            <w:tcBorders>
              <w:top w:val="nil"/>
            </w:tcBorders>
            <w:shd w:val="clear" w:color="auto" w:fill="17365D" w:themeFill="text2" w:themeFillShade="BF"/>
            <w:vAlign w:val="center"/>
          </w:tcPr>
          <w:p w14:paraId="33169076" w14:textId="77777777" w:rsidR="00947B9F" w:rsidRPr="00481E0D" w:rsidRDefault="00947B9F" w:rsidP="00193E59">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481E0D">
              <w:rPr>
                <w:rFonts w:ascii="Arial" w:hAnsi="Arial" w:cs="Arial"/>
                <w:color w:val="FFFFFF" w:themeColor="background1"/>
                <w:sz w:val="18"/>
                <w:szCs w:val="18"/>
              </w:rPr>
              <w:t>2022</w:t>
            </w:r>
          </w:p>
        </w:tc>
        <w:tc>
          <w:tcPr>
            <w:tcW w:w="1091" w:type="dxa"/>
            <w:tcBorders>
              <w:top w:val="nil"/>
            </w:tcBorders>
            <w:shd w:val="clear" w:color="auto" w:fill="17365D" w:themeFill="text2" w:themeFillShade="BF"/>
            <w:vAlign w:val="center"/>
          </w:tcPr>
          <w:p w14:paraId="03B0D02B" w14:textId="77777777" w:rsidR="00947B9F" w:rsidRPr="00481E0D" w:rsidRDefault="00947B9F" w:rsidP="00193E59">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481E0D">
              <w:rPr>
                <w:rFonts w:ascii="Arial" w:hAnsi="Arial" w:cs="Arial"/>
                <w:color w:val="FFFFFF" w:themeColor="background1"/>
                <w:sz w:val="18"/>
                <w:szCs w:val="18"/>
              </w:rPr>
              <w:t>2023</w:t>
            </w:r>
          </w:p>
        </w:tc>
        <w:tc>
          <w:tcPr>
            <w:tcW w:w="1091" w:type="dxa"/>
            <w:tcBorders>
              <w:top w:val="nil"/>
            </w:tcBorders>
            <w:shd w:val="clear" w:color="auto" w:fill="17365D" w:themeFill="text2" w:themeFillShade="BF"/>
            <w:vAlign w:val="center"/>
          </w:tcPr>
          <w:p w14:paraId="312EB82C" w14:textId="77777777" w:rsidR="00947B9F" w:rsidRPr="00481E0D" w:rsidRDefault="00947B9F" w:rsidP="00193E59">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481E0D">
              <w:rPr>
                <w:rFonts w:ascii="Arial" w:hAnsi="Arial" w:cs="Arial"/>
                <w:color w:val="FFFFFF" w:themeColor="background1"/>
                <w:sz w:val="18"/>
                <w:szCs w:val="18"/>
              </w:rPr>
              <w:t>2024</w:t>
            </w:r>
          </w:p>
        </w:tc>
        <w:tc>
          <w:tcPr>
            <w:tcW w:w="1091" w:type="dxa"/>
            <w:tcBorders>
              <w:top w:val="nil"/>
            </w:tcBorders>
            <w:shd w:val="clear" w:color="auto" w:fill="17365D" w:themeFill="text2" w:themeFillShade="BF"/>
            <w:vAlign w:val="center"/>
          </w:tcPr>
          <w:p w14:paraId="685C2C73" w14:textId="77777777" w:rsidR="00947B9F" w:rsidRPr="00481E0D" w:rsidRDefault="00947B9F" w:rsidP="00193E59">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481E0D">
              <w:rPr>
                <w:rFonts w:ascii="Arial" w:hAnsi="Arial" w:cs="Arial"/>
                <w:color w:val="FFFFFF" w:themeColor="background1"/>
                <w:sz w:val="18"/>
                <w:szCs w:val="18"/>
              </w:rPr>
              <w:t>2025</w:t>
            </w:r>
          </w:p>
        </w:tc>
        <w:tc>
          <w:tcPr>
            <w:tcW w:w="1091" w:type="dxa"/>
            <w:tcBorders>
              <w:top w:val="nil"/>
            </w:tcBorders>
            <w:shd w:val="clear" w:color="auto" w:fill="17365D" w:themeFill="text2" w:themeFillShade="BF"/>
            <w:vAlign w:val="center"/>
          </w:tcPr>
          <w:p w14:paraId="33222805" w14:textId="22DC8881" w:rsidR="00947B9F" w:rsidRPr="00481E0D" w:rsidRDefault="00193E59" w:rsidP="00193E59">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Q1 26</w:t>
            </w:r>
          </w:p>
        </w:tc>
        <w:tc>
          <w:tcPr>
            <w:tcW w:w="1092" w:type="dxa"/>
            <w:tcBorders>
              <w:top w:val="nil"/>
            </w:tcBorders>
            <w:shd w:val="clear" w:color="auto" w:fill="17365D" w:themeFill="text2" w:themeFillShade="BF"/>
            <w:vAlign w:val="center"/>
          </w:tcPr>
          <w:p w14:paraId="40662567" w14:textId="45FA0AD3" w:rsidR="00947B9F" w:rsidRPr="00481E0D" w:rsidRDefault="00193E59" w:rsidP="00193E59">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Mar</w:t>
            </w:r>
            <w:r w:rsidR="00947B9F">
              <w:rPr>
                <w:rFonts w:ascii="Arial" w:hAnsi="Arial" w:cs="Arial"/>
                <w:color w:val="FFFFFF" w:themeColor="background1"/>
                <w:sz w:val="18"/>
                <w:szCs w:val="18"/>
              </w:rPr>
              <w:t xml:space="preserve"> 26</w:t>
            </w:r>
          </w:p>
        </w:tc>
      </w:tr>
      <w:tr w:rsidR="00947B9F" w:rsidRPr="00752B13" w14:paraId="7AB90A7E" w14:textId="77777777" w:rsidTr="00193E59">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601" w:type="dxa"/>
            <w:tcBorders>
              <w:bottom w:val="nil"/>
            </w:tcBorders>
            <w:shd w:val="clear" w:color="auto" w:fill="FFFFFF" w:themeFill="background1"/>
            <w:vAlign w:val="center"/>
          </w:tcPr>
          <w:p w14:paraId="3AF6B050" w14:textId="77777777" w:rsidR="00947B9F" w:rsidRPr="00FB41A2" w:rsidRDefault="00947B9F" w:rsidP="00193E59">
            <w:pPr>
              <w:rPr>
                <w:rFonts w:ascii="Arial" w:hAnsi="Arial" w:cs="Arial"/>
                <w:b w:val="0"/>
                <w:color w:val="000000" w:themeColor="text1"/>
                <w:sz w:val="18"/>
              </w:rPr>
            </w:pPr>
            <w:r w:rsidRPr="00FB41A2">
              <w:rPr>
                <w:rFonts w:ascii="Arial" w:hAnsi="Arial" w:cs="Arial"/>
                <w:b w:val="0"/>
                <w:color w:val="000000" w:themeColor="text1"/>
                <w:sz w:val="18"/>
              </w:rPr>
              <w:t>Total meat</w:t>
            </w:r>
          </w:p>
        </w:tc>
        <w:tc>
          <w:tcPr>
            <w:tcW w:w="1091" w:type="dxa"/>
            <w:tcBorders>
              <w:bottom w:val="nil"/>
            </w:tcBorders>
            <w:shd w:val="clear" w:color="auto" w:fill="FFFFFF" w:themeFill="background1"/>
            <w:vAlign w:val="center"/>
          </w:tcPr>
          <w:p w14:paraId="24D6CE06" w14:textId="77777777" w:rsidR="00947B9F" w:rsidRPr="00FB41A2" w:rsidRDefault="00947B9F" w:rsidP="00193E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20"/>
              </w:rPr>
            </w:pPr>
            <w:r>
              <w:rPr>
                <w:rFonts w:ascii="Arial" w:hAnsi="Arial" w:cs="Arial"/>
                <w:color w:val="000000" w:themeColor="text1"/>
                <w:sz w:val="18"/>
                <w:szCs w:val="20"/>
              </w:rPr>
              <w:t>465</w:t>
            </w:r>
          </w:p>
        </w:tc>
        <w:tc>
          <w:tcPr>
            <w:tcW w:w="1091" w:type="dxa"/>
            <w:tcBorders>
              <w:bottom w:val="nil"/>
            </w:tcBorders>
            <w:shd w:val="clear" w:color="auto" w:fill="FFFFFF" w:themeFill="background1"/>
            <w:vAlign w:val="center"/>
          </w:tcPr>
          <w:p w14:paraId="5FAA714D" w14:textId="77777777" w:rsidR="00947B9F" w:rsidRPr="00FB41A2" w:rsidRDefault="00947B9F" w:rsidP="00193E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20"/>
              </w:rPr>
            </w:pPr>
            <w:r>
              <w:rPr>
                <w:rFonts w:ascii="Arial" w:hAnsi="Arial" w:cs="Arial"/>
                <w:color w:val="000000" w:themeColor="text1"/>
                <w:sz w:val="18"/>
                <w:szCs w:val="20"/>
              </w:rPr>
              <w:t>466</w:t>
            </w:r>
          </w:p>
        </w:tc>
        <w:tc>
          <w:tcPr>
            <w:tcW w:w="1091" w:type="dxa"/>
            <w:tcBorders>
              <w:bottom w:val="nil"/>
            </w:tcBorders>
            <w:shd w:val="clear" w:color="auto" w:fill="FFFFFF" w:themeFill="background1"/>
            <w:vAlign w:val="center"/>
          </w:tcPr>
          <w:p w14:paraId="28C98EDC" w14:textId="77777777" w:rsidR="00947B9F" w:rsidRPr="00FB41A2" w:rsidRDefault="00947B9F" w:rsidP="00193E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20"/>
              </w:rPr>
            </w:pPr>
            <w:r>
              <w:rPr>
                <w:rFonts w:ascii="Arial" w:hAnsi="Arial" w:cs="Arial"/>
                <w:color w:val="000000" w:themeColor="text1"/>
                <w:sz w:val="18"/>
                <w:szCs w:val="20"/>
              </w:rPr>
              <w:t>456</w:t>
            </w:r>
          </w:p>
        </w:tc>
        <w:tc>
          <w:tcPr>
            <w:tcW w:w="1091" w:type="dxa"/>
            <w:tcBorders>
              <w:bottom w:val="nil"/>
            </w:tcBorders>
            <w:shd w:val="clear" w:color="auto" w:fill="FFFFFF" w:themeFill="background1"/>
            <w:vAlign w:val="center"/>
          </w:tcPr>
          <w:p w14:paraId="577A5960" w14:textId="77777777" w:rsidR="00947B9F" w:rsidRPr="00FB41A2" w:rsidRDefault="00947B9F" w:rsidP="00193E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20"/>
              </w:rPr>
            </w:pPr>
            <w:r>
              <w:rPr>
                <w:rFonts w:ascii="Arial" w:hAnsi="Arial" w:cs="Arial"/>
                <w:color w:val="000000" w:themeColor="text1"/>
                <w:sz w:val="18"/>
                <w:szCs w:val="20"/>
              </w:rPr>
              <w:t>453</w:t>
            </w:r>
          </w:p>
        </w:tc>
        <w:tc>
          <w:tcPr>
            <w:tcW w:w="1091" w:type="dxa"/>
            <w:tcBorders>
              <w:bottom w:val="nil"/>
            </w:tcBorders>
            <w:shd w:val="clear" w:color="auto" w:fill="FFFFFF" w:themeFill="background1"/>
            <w:vAlign w:val="center"/>
          </w:tcPr>
          <w:p w14:paraId="0BC38E59" w14:textId="77777777" w:rsidR="00947B9F" w:rsidRDefault="00947B9F" w:rsidP="00193E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20"/>
              </w:rPr>
            </w:pPr>
            <w:r>
              <w:rPr>
                <w:rFonts w:ascii="Arial" w:hAnsi="Arial" w:cs="Arial"/>
                <w:color w:val="000000" w:themeColor="text1"/>
                <w:sz w:val="18"/>
                <w:szCs w:val="20"/>
              </w:rPr>
              <w:t>448</w:t>
            </w:r>
          </w:p>
        </w:tc>
        <w:tc>
          <w:tcPr>
            <w:tcW w:w="1091" w:type="dxa"/>
            <w:tcBorders>
              <w:bottom w:val="nil"/>
            </w:tcBorders>
            <w:shd w:val="clear" w:color="auto" w:fill="FFFFFF" w:themeFill="background1"/>
            <w:vAlign w:val="center"/>
          </w:tcPr>
          <w:p w14:paraId="683890F8" w14:textId="77777777" w:rsidR="00947B9F" w:rsidRDefault="00947B9F" w:rsidP="00193E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20"/>
              </w:rPr>
            </w:pPr>
            <w:r>
              <w:rPr>
                <w:rFonts w:ascii="Arial" w:hAnsi="Arial" w:cs="Arial"/>
                <w:color w:val="000000" w:themeColor="text1"/>
                <w:sz w:val="18"/>
                <w:szCs w:val="20"/>
              </w:rPr>
              <w:t>453</w:t>
            </w:r>
          </w:p>
        </w:tc>
        <w:tc>
          <w:tcPr>
            <w:tcW w:w="1091" w:type="dxa"/>
            <w:tcBorders>
              <w:bottom w:val="nil"/>
            </w:tcBorders>
            <w:shd w:val="clear" w:color="auto" w:fill="FFFFFF" w:themeFill="background1"/>
            <w:vAlign w:val="center"/>
          </w:tcPr>
          <w:p w14:paraId="5D1E737A" w14:textId="4025B900" w:rsidR="00947B9F" w:rsidRPr="00431CC6" w:rsidRDefault="00647FDF" w:rsidP="00193E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20"/>
              </w:rPr>
            </w:pPr>
            <w:r>
              <w:rPr>
                <w:rFonts w:ascii="Arial" w:hAnsi="Arial" w:cs="Arial"/>
                <w:color w:val="000000" w:themeColor="text1"/>
                <w:sz w:val="18"/>
                <w:szCs w:val="20"/>
              </w:rPr>
              <w:t>458</w:t>
            </w:r>
          </w:p>
        </w:tc>
        <w:tc>
          <w:tcPr>
            <w:tcW w:w="1092" w:type="dxa"/>
            <w:tcBorders>
              <w:bottom w:val="nil"/>
            </w:tcBorders>
            <w:shd w:val="clear" w:color="auto" w:fill="FFFFFF" w:themeFill="background1"/>
            <w:vAlign w:val="center"/>
          </w:tcPr>
          <w:p w14:paraId="7440F30C" w14:textId="4449F0FE" w:rsidR="00947B9F" w:rsidRPr="00431CC6" w:rsidRDefault="00647FDF" w:rsidP="00193E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20"/>
              </w:rPr>
            </w:pPr>
            <w:r>
              <w:rPr>
                <w:rFonts w:ascii="Arial" w:hAnsi="Arial" w:cs="Arial"/>
                <w:color w:val="000000" w:themeColor="text1"/>
                <w:sz w:val="18"/>
                <w:szCs w:val="20"/>
              </w:rPr>
              <w:t>457</w:t>
            </w:r>
          </w:p>
        </w:tc>
      </w:tr>
      <w:tr w:rsidR="00947B9F" w:rsidRPr="00752B13" w14:paraId="3F0EF4C1" w14:textId="77777777" w:rsidTr="00193E59">
        <w:trPr>
          <w:trHeight w:val="237"/>
        </w:trPr>
        <w:tc>
          <w:tcPr>
            <w:cnfStyle w:val="001000000000" w:firstRow="0" w:lastRow="0" w:firstColumn="1" w:lastColumn="0" w:oddVBand="0" w:evenVBand="0" w:oddHBand="0" w:evenHBand="0" w:firstRowFirstColumn="0" w:firstRowLastColumn="0" w:lastRowFirstColumn="0" w:lastRowLastColumn="0"/>
            <w:tcW w:w="1601" w:type="dxa"/>
            <w:tcBorders>
              <w:top w:val="nil"/>
              <w:bottom w:val="nil"/>
            </w:tcBorders>
            <w:shd w:val="clear" w:color="auto" w:fill="D9D9D9" w:themeFill="background1" w:themeFillShade="D9"/>
            <w:vAlign w:val="center"/>
          </w:tcPr>
          <w:p w14:paraId="27D47CC9" w14:textId="77777777" w:rsidR="00947B9F" w:rsidRPr="00FB41A2" w:rsidRDefault="00947B9F" w:rsidP="00193E59">
            <w:pPr>
              <w:rPr>
                <w:rFonts w:ascii="Arial" w:hAnsi="Arial" w:cs="Arial"/>
                <w:b w:val="0"/>
                <w:color w:val="000000" w:themeColor="text1"/>
                <w:sz w:val="18"/>
              </w:rPr>
            </w:pPr>
            <w:r w:rsidRPr="00FB41A2">
              <w:rPr>
                <w:rFonts w:ascii="Arial" w:hAnsi="Arial" w:cs="Arial"/>
                <w:b w:val="0"/>
                <w:color w:val="000000" w:themeColor="text1"/>
                <w:sz w:val="18"/>
              </w:rPr>
              <w:t>Change vs. YA</w:t>
            </w:r>
          </w:p>
        </w:tc>
        <w:tc>
          <w:tcPr>
            <w:tcW w:w="1091" w:type="dxa"/>
            <w:tcBorders>
              <w:top w:val="nil"/>
              <w:bottom w:val="nil"/>
            </w:tcBorders>
            <w:shd w:val="clear" w:color="auto" w:fill="D9D9D9" w:themeFill="background1" w:themeFillShade="D9"/>
            <w:vAlign w:val="center"/>
          </w:tcPr>
          <w:p w14:paraId="1DC3EBFC" w14:textId="77777777" w:rsidR="00947B9F" w:rsidRPr="00FB41A2" w:rsidRDefault="00947B9F" w:rsidP="00193E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p>
        </w:tc>
        <w:tc>
          <w:tcPr>
            <w:tcW w:w="1091" w:type="dxa"/>
            <w:tcBorders>
              <w:top w:val="nil"/>
              <w:bottom w:val="nil"/>
            </w:tcBorders>
            <w:shd w:val="clear" w:color="auto" w:fill="D9D9D9" w:themeFill="background1" w:themeFillShade="D9"/>
            <w:vAlign w:val="center"/>
          </w:tcPr>
          <w:p w14:paraId="0040E889" w14:textId="77777777" w:rsidR="00947B9F" w:rsidRPr="00FB41A2" w:rsidRDefault="00947B9F" w:rsidP="00193E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+0.2</w:t>
            </w:r>
            <w:r w:rsidRPr="00FB41A2">
              <w:rPr>
                <w:rFonts w:ascii="Arial" w:hAnsi="Arial" w:cs="Arial"/>
                <w:color w:val="000000" w:themeColor="text1"/>
                <w:sz w:val="18"/>
                <w:szCs w:val="18"/>
              </w:rPr>
              <w:t>%</w:t>
            </w:r>
          </w:p>
        </w:tc>
        <w:tc>
          <w:tcPr>
            <w:tcW w:w="1091" w:type="dxa"/>
            <w:tcBorders>
              <w:top w:val="nil"/>
              <w:bottom w:val="nil"/>
            </w:tcBorders>
            <w:shd w:val="clear" w:color="auto" w:fill="D9D9D9" w:themeFill="background1" w:themeFillShade="D9"/>
            <w:vAlign w:val="center"/>
          </w:tcPr>
          <w:p w14:paraId="552575E8" w14:textId="77777777" w:rsidR="00947B9F" w:rsidRPr="00FB41A2" w:rsidRDefault="00947B9F" w:rsidP="00193E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-2.1</w:t>
            </w:r>
            <w:r w:rsidRPr="00FB41A2">
              <w:rPr>
                <w:rFonts w:ascii="Arial" w:hAnsi="Arial" w:cs="Arial"/>
                <w:color w:val="000000" w:themeColor="text1"/>
                <w:sz w:val="18"/>
                <w:szCs w:val="18"/>
              </w:rPr>
              <w:t>%</w:t>
            </w:r>
          </w:p>
        </w:tc>
        <w:tc>
          <w:tcPr>
            <w:tcW w:w="1091" w:type="dxa"/>
            <w:tcBorders>
              <w:top w:val="nil"/>
              <w:bottom w:val="nil"/>
            </w:tcBorders>
            <w:shd w:val="clear" w:color="auto" w:fill="D9D9D9" w:themeFill="background1" w:themeFillShade="D9"/>
            <w:vAlign w:val="center"/>
          </w:tcPr>
          <w:p w14:paraId="19293095" w14:textId="77777777" w:rsidR="00947B9F" w:rsidRPr="00FB41A2" w:rsidRDefault="00947B9F" w:rsidP="00193E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-0.8</w:t>
            </w:r>
            <w:r w:rsidRPr="00FB41A2">
              <w:rPr>
                <w:rFonts w:ascii="Arial" w:hAnsi="Arial" w:cs="Arial"/>
                <w:color w:val="000000" w:themeColor="text1"/>
                <w:sz w:val="18"/>
                <w:szCs w:val="18"/>
              </w:rPr>
              <w:t>%</w:t>
            </w:r>
          </w:p>
        </w:tc>
        <w:tc>
          <w:tcPr>
            <w:tcW w:w="1091" w:type="dxa"/>
            <w:tcBorders>
              <w:top w:val="nil"/>
              <w:bottom w:val="nil"/>
            </w:tcBorders>
            <w:shd w:val="clear" w:color="auto" w:fill="D9D9D9" w:themeFill="background1" w:themeFillShade="D9"/>
            <w:vAlign w:val="center"/>
          </w:tcPr>
          <w:p w14:paraId="5C398A2F" w14:textId="77777777" w:rsidR="00947B9F" w:rsidRDefault="00947B9F" w:rsidP="00193E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-1.1%</w:t>
            </w:r>
          </w:p>
        </w:tc>
        <w:tc>
          <w:tcPr>
            <w:tcW w:w="1091" w:type="dxa"/>
            <w:tcBorders>
              <w:top w:val="nil"/>
              <w:bottom w:val="nil"/>
            </w:tcBorders>
            <w:shd w:val="clear" w:color="auto" w:fill="D9D9D9" w:themeFill="background1" w:themeFillShade="D9"/>
            <w:vAlign w:val="center"/>
          </w:tcPr>
          <w:p w14:paraId="267726E9" w14:textId="77777777" w:rsidR="00947B9F" w:rsidRDefault="00947B9F" w:rsidP="00193E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+1.0%</w:t>
            </w:r>
          </w:p>
        </w:tc>
        <w:tc>
          <w:tcPr>
            <w:tcW w:w="1091" w:type="dxa"/>
            <w:tcBorders>
              <w:top w:val="nil"/>
              <w:bottom w:val="nil"/>
            </w:tcBorders>
            <w:shd w:val="clear" w:color="auto" w:fill="D9D9D9" w:themeFill="background1" w:themeFillShade="D9"/>
            <w:vAlign w:val="center"/>
          </w:tcPr>
          <w:p w14:paraId="441C7975" w14:textId="6536E56D" w:rsidR="00947B9F" w:rsidRDefault="00193E59" w:rsidP="00193E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647FDF">
              <w:rPr>
                <w:rFonts w:ascii="Arial" w:hAnsi="Arial" w:cs="Arial"/>
                <w:color w:val="000000" w:themeColor="text1"/>
                <w:sz w:val="18"/>
                <w:szCs w:val="18"/>
              </w:rPr>
              <w:t>2.2</w:t>
            </w:r>
            <w:r w:rsidR="00947B9F">
              <w:rPr>
                <w:rFonts w:ascii="Arial" w:hAnsi="Arial" w:cs="Arial"/>
                <w:color w:val="000000" w:themeColor="text1"/>
                <w:sz w:val="18"/>
                <w:szCs w:val="18"/>
              </w:rPr>
              <w:t>%</w:t>
            </w:r>
          </w:p>
        </w:tc>
        <w:tc>
          <w:tcPr>
            <w:tcW w:w="1092" w:type="dxa"/>
            <w:tcBorders>
              <w:top w:val="nil"/>
              <w:bottom w:val="nil"/>
            </w:tcBorders>
            <w:shd w:val="clear" w:color="auto" w:fill="D9D9D9" w:themeFill="background1" w:themeFillShade="D9"/>
            <w:vAlign w:val="center"/>
          </w:tcPr>
          <w:p w14:paraId="136C5BEB" w14:textId="2D526293" w:rsidR="00947B9F" w:rsidRPr="00FB41A2" w:rsidRDefault="00193E59" w:rsidP="00193E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647FDF">
              <w:rPr>
                <w:rFonts w:ascii="Arial" w:hAnsi="Arial" w:cs="Arial"/>
                <w:color w:val="000000" w:themeColor="text1"/>
                <w:sz w:val="18"/>
                <w:szCs w:val="18"/>
              </w:rPr>
              <w:t>2.1</w:t>
            </w:r>
            <w:r w:rsidR="00947B9F" w:rsidRPr="00FB41A2">
              <w:rPr>
                <w:rFonts w:ascii="Arial" w:hAnsi="Arial" w:cs="Arial"/>
                <w:color w:val="000000" w:themeColor="text1"/>
                <w:sz w:val="18"/>
                <w:szCs w:val="18"/>
              </w:rPr>
              <w:t>%</w:t>
            </w:r>
          </w:p>
        </w:tc>
      </w:tr>
    </w:tbl>
    <w:p w14:paraId="3BD0544C" w14:textId="77777777" w:rsidR="00947B9F" w:rsidRPr="004D62C0" w:rsidRDefault="00947B9F" w:rsidP="00947B9F">
      <w:pPr>
        <w:pStyle w:val="NoSpacing"/>
        <w:rPr>
          <w:rFonts w:cstheme="minorHAnsi"/>
          <w:sz w:val="10"/>
          <w:szCs w:val="10"/>
        </w:rPr>
      </w:pPr>
    </w:p>
    <w:p w14:paraId="423ECCB0" w14:textId="77777777" w:rsidR="00947B9F" w:rsidRPr="00151AA6" w:rsidRDefault="00947B9F" w:rsidP="00947B9F">
      <w:pPr>
        <w:pStyle w:val="NoSpacing"/>
        <w:rPr>
          <w:rFonts w:ascii="Arial" w:hAnsi="Arial" w:cs="Arial"/>
          <w:color w:val="7F7F7F" w:themeColor="text1" w:themeTint="80"/>
          <w:sz w:val="16"/>
          <w:szCs w:val="16"/>
        </w:rPr>
      </w:pPr>
      <w:r w:rsidRPr="00E54A99">
        <w:rPr>
          <w:rFonts w:ascii="Arial" w:hAnsi="Arial" w:cs="Arial"/>
          <w:color w:val="7F7F7F" w:themeColor="text1" w:themeTint="80"/>
          <w:sz w:val="16"/>
          <w:szCs w:val="16"/>
        </w:rPr>
        <w:t xml:space="preserve">Source: Circana, Integrated Fresh, Total US, </w:t>
      </w:r>
      <w:r>
        <w:rPr>
          <w:rFonts w:ascii="Arial" w:hAnsi="Arial" w:cs="Arial"/>
          <w:color w:val="7F7F7F" w:themeColor="text1" w:themeTint="80"/>
          <w:sz w:val="16"/>
          <w:szCs w:val="16"/>
        </w:rPr>
        <w:t>MULO+</w:t>
      </w:r>
      <w:r w:rsidRPr="00E54A99">
        <w:rPr>
          <w:rFonts w:ascii="Arial" w:hAnsi="Arial" w:cs="Arial"/>
          <w:color w:val="7F7F7F" w:themeColor="text1" w:themeTint="80"/>
          <w:sz w:val="16"/>
          <w:szCs w:val="16"/>
        </w:rPr>
        <w:t>, average items per store selling</w:t>
      </w:r>
    </w:p>
    <w:p w14:paraId="3098C629" w14:textId="77777777" w:rsidR="00947B9F" w:rsidRDefault="00947B9F" w:rsidP="00BB6906">
      <w:pPr>
        <w:pStyle w:val="NoSpacing"/>
        <w:rPr>
          <w:rFonts w:ascii="Arial" w:hAnsi="Arial" w:cs="Arial"/>
          <w:sz w:val="16"/>
          <w:szCs w:val="16"/>
        </w:rPr>
      </w:pPr>
    </w:p>
    <w:p w14:paraId="54B6E0EC" w14:textId="77777777" w:rsidR="00433655" w:rsidRDefault="00433655" w:rsidP="00BB6906">
      <w:pPr>
        <w:pStyle w:val="NoSpacing"/>
        <w:rPr>
          <w:rFonts w:ascii="Arial" w:hAnsi="Arial" w:cs="Arial"/>
          <w:sz w:val="16"/>
          <w:szCs w:val="16"/>
        </w:rPr>
      </w:pPr>
    </w:p>
    <w:bookmarkEnd w:id="6"/>
    <w:p w14:paraId="49FDD588" w14:textId="7756FCCA" w:rsidR="00AD3F7F" w:rsidRPr="00F220D0" w:rsidRDefault="00C713A9" w:rsidP="002D6E07">
      <w:pPr>
        <w:spacing w:after="0" w:line="240" w:lineRule="auto"/>
        <w:rPr>
          <w:rFonts w:ascii="Arial" w:hAnsi="Arial" w:cs="Arial"/>
          <w:b/>
          <w:bCs/>
          <w:color w:val="595959" w:themeColor="text1" w:themeTint="A6"/>
          <w:sz w:val="24"/>
          <w:szCs w:val="24"/>
        </w:rPr>
      </w:pPr>
      <w:r>
        <w:rPr>
          <w:rFonts w:ascii="Arial" w:hAnsi="Arial" w:cs="Arial"/>
          <w:b/>
          <w:bCs/>
          <w:color w:val="595959" w:themeColor="text1" w:themeTint="A6"/>
          <w:sz w:val="24"/>
          <w:szCs w:val="24"/>
        </w:rPr>
        <w:t xml:space="preserve">Meat Sales </w:t>
      </w:r>
    </w:p>
    <w:p w14:paraId="7E7192AF" w14:textId="279E0E27" w:rsidR="00953823" w:rsidRDefault="00433655" w:rsidP="002D6E07">
      <w:pPr>
        <w:spacing w:after="0" w:line="240" w:lineRule="auto"/>
        <w:rPr>
          <w:rFonts w:ascii="Arial" w:hAnsi="Arial" w:cs="Arial"/>
          <w:sz w:val="20"/>
          <w:szCs w:val="20"/>
        </w:rPr>
      </w:pPr>
      <w:r w:rsidRPr="00433655">
        <w:rPr>
          <w:rFonts w:ascii="Arial" w:hAnsi="Arial" w:cs="Arial"/>
          <w:sz w:val="20"/>
          <w:szCs w:val="20"/>
        </w:rPr>
        <w:t>Meat had a strong month, with growth in dollars, units and pounds. Sales reached $8.5 billion, up 5.0% year</w:t>
      </w:r>
      <w:r w:rsidR="00A1598F">
        <w:rPr>
          <w:rFonts w:ascii="Arial" w:hAnsi="Arial" w:cs="Arial"/>
          <w:sz w:val="20"/>
          <w:szCs w:val="20"/>
        </w:rPr>
        <w:t>-</w:t>
      </w:r>
      <w:r w:rsidRPr="00433655">
        <w:rPr>
          <w:rFonts w:ascii="Arial" w:hAnsi="Arial" w:cs="Arial"/>
          <w:sz w:val="20"/>
          <w:szCs w:val="20"/>
        </w:rPr>
        <w:t>over</w:t>
      </w:r>
      <w:r w:rsidR="00A1598F">
        <w:rPr>
          <w:rFonts w:ascii="Arial" w:hAnsi="Arial" w:cs="Arial"/>
          <w:sz w:val="20"/>
          <w:szCs w:val="20"/>
        </w:rPr>
        <w:t>-</w:t>
      </w:r>
      <w:r w:rsidRPr="00433655">
        <w:rPr>
          <w:rFonts w:ascii="Arial" w:hAnsi="Arial" w:cs="Arial"/>
          <w:sz w:val="20"/>
          <w:szCs w:val="20"/>
        </w:rPr>
        <w:t>year. Both fresh and processed meat delivered gains. While dollar growth slowed compared with the full-year pace, this reflects moderating inflation rather than a lack of demand</w:t>
      </w:r>
      <w:r>
        <w:rPr>
          <w:rFonts w:ascii="Arial" w:hAnsi="Arial" w:cs="Arial"/>
          <w:sz w:val="20"/>
          <w:szCs w:val="20"/>
        </w:rPr>
        <w:t>, especially in fresh meat</w:t>
      </w:r>
      <w:r w:rsidRPr="00433655">
        <w:rPr>
          <w:rFonts w:ascii="Arial" w:hAnsi="Arial" w:cs="Arial"/>
          <w:sz w:val="20"/>
          <w:szCs w:val="20"/>
        </w:rPr>
        <w:t>.</w:t>
      </w:r>
    </w:p>
    <w:p w14:paraId="0DAF68FD" w14:textId="77777777" w:rsidR="00433655" w:rsidRPr="00096680" w:rsidRDefault="00433655" w:rsidP="002D6E07">
      <w:pPr>
        <w:spacing w:after="0" w:line="240" w:lineRule="auto"/>
        <w:rPr>
          <w:rFonts w:ascii="Arial" w:hAnsi="Arial" w:cs="Arial"/>
          <w:sz w:val="10"/>
          <w:szCs w:val="10"/>
        </w:rPr>
      </w:pPr>
    </w:p>
    <w:tbl>
      <w:tblPr>
        <w:tblStyle w:val="LightShading-Accent5"/>
        <w:tblW w:w="10170" w:type="dxa"/>
        <w:tblBorders>
          <w:top w:val="none" w:sz="0" w:space="0" w:color="auto"/>
          <w:bottom w:val="none" w:sz="0" w:space="0" w:color="auto"/>
        </w:tblBorders>
        <w:tblLayout w:type="fixed"/>
        <w:tblLook w:val="04A0" w:firstRow="1" w:lastRow="0" w:firstColumn="1" w:lastColumn="0" w:noHBand="0" w:noVBand="1"/>
      </w:tblPr>
      <w:tblGrid>
        <w:gridCol w:w="2225"/>
        <w:gridCol w:w="882"/>
        <w:gridCol w:w="853"/>
        <w:gridCol w:w="913"/>
        <w:gridCol w:w="883"/>
        <w:gridCol w:w="882"/>
        <w:gridCol w:w="832"/>
        <w:gridCol w:w="934"/>
        <w:gridCol w:w="883"/>
        <w:gridCol w:w="883"/>
      </w:tblGrid>
      <w:tr w:rsidR="00EE5904" w:rsidRPr="00BC7615" w14:paraId="1E928301" w14:textId="77777777" w:rsidTr="00E35E79">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225" w:type="dxa"/>
            <w:tcBorders>
              <w:top w:val="none" w:sz="0" w:space="0" w:color="auto"/>
              <w:bottom w:val="none" w:sz="0" w:space="0" w:color="auto"/>
            </w:tcBorders>
            <w:shd w:val="clear" w:color="auto" w:fill="17365D" w:themeFill="text2" w:themeFillShade="BF"/>
            <w:noWrap/>
          </w:tcPr>
          <w:p w14:paraId="091E3C4F" w14:textId="77777777" w:rsidR="00EE5904" w:rsidRPr="00BC7615" w:rsidRDefault="00EE5904" w:rsidP="00FB48FE">
            <w:pPr>
              <w:jc w:val="center"/>
              <w:rPr>
                <w:rFonts w:ascii="Arial" w:eastAsia="Times New Roman" w:hAnsi="Arial" w:cs="Arial"/>
                <w:bCs w:val="0"/>
                <w:color w:val="FFFFFF" w:themeColor="background1"/>
                <w:sz w:val="18"/>
                <w:szCs w:val="18"/>
              </w:rPr>
            </w:pPr>
          </w:p>
        </w:tc>
        <w:tc>
          <w:tcPr>
            <w:tcW w:w="4413" w:type="dxa"/>
            <w:gridSpan w:val="5"/>
            <w:tcBorders>
              <w:top w:val="none" w:sz="0" w:space="0" w:color="auto"/>
              <w:bottom w:val="none" w:sz="0" w:space="0" w:color="auto"/>
              <w:right w:val="none" w:sz="0" w:space="0" w:color="auto"/>
            </w:tcBorders>
            <w:shd w:val="clear" w:color="auto" w:fill="17365D" w:themeFill="text2" w:themeFillShade="BF"/>
          </w:tcPr>
          <w:p w14:paraId="67FC5234" w14:textId="0EAA9354" w:rsidR="00EE5904" w:rsidRPr="00BC7615" w:rsidRDefault="00193E59" w:rsidP="00FB48FE">
            <w:pPr>
              <w:tabs>
                <w:tab w:val="left" w:pos="699"/>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18"/>
                <w:szCs w:val="20"/>
              </w:rPr>
            </w:pPr>
            <w:r>
              <w:rPr>
                <w:rFonts w:ascii="Arial" w:eastAsia="Times New Roman" w:hAnsi="Arial" w:cs="Arial"/>
                <w:bCs w:val="0"/>
                <w:color w:val="FFFFFF" w:themeColor="background1"/>
                <w:sz w:val="18"/>
                <w:szCs w:val="20"/>
              </w:rPr>
              <w:t>March</w:t>
            </w:r>
            <w:r w:rsidR="0069212D">
              <w:rPr>
                <w:rFonts w:ascii="Arial" w:eastAsia="Times New Roman" w:hAnsi="Arial" w:cs="Arial"/>
                <w:bCs w:val="0"/>
                <w:color w:val="FFFFFF" w:themeColor="background1"/>
                <w:sz w:val="18"/>
                <w:szCs w:val="20"/>
              </w:rPr>
              <w:t xml:space="preserve"> </w:t>
            </w:r>
            <w:r w:rsidR="000D7CB9">
              <w:rPr>
                <w:rFonts w:ascii="Arial" w:eastAsia="Times New Roman" w:hAnsi="Arial" w:cs="Arial"/>
                <w:bCs w:val="0"/>
                <w:color w:val="FFFFFF" w:themeColor="background1"/>
                <w:sz w:val="18"/>
                <w:szCs w:val="20"/>
              </w:rPr>
              <w:t>2026</w:t>
            </w:r>
            <w:r w:rsidR="00EE5904" w:rsidRPr="00BC7615">
              <w:rPr>
                <w:rFonts w:ascii="Arial" w:eastAsia="Times New Roman" w:hAnsi="Arial" w:cs="Arial"/>
                <w:bCs w:val="0"/>
                <w:color w:val="FFFFFF" w:themeColor="background1"/>
                <w:sz w:val="18"/>
                <w:szCs w:val="20"/>
              </w:rPr>
              <w:t xml:space="preserve"> </w:t>
            </w:r>
          </w:p>
        </w:tc>
        <w:tc>
          <w:tcPr>
            <w:tcW w:w="3532" w:type="dxa"/>
            <w:gridSpan w:val="4"/>
            <w:tcBorders>
              <w:top w:val="none" w:sz="0" w:space="0" w:color="auto"/>
              <w:left w:val="none" w:sz="0" w:space="0" w:color="auto"/>
              <w:bottom w:val="none" w:sz="0" w:space="0" w:color="auto"/>
            </w:tcBorders>
            <w:shd w:val="clear" w:color="auto" w:fill="17365D" w:themeFill="text2" w:themeFillShade="BF"/>
          </w:tcPr>
          <w:p w14:paraId="55EA74DF" w14:textId="5ED9CA41" w:rsidR="00EE5904" w:rsidRPr="00BC7615" w:rsidRDefault="000D7CB9" w:rsidP="00791103">
            <w:pPr>
              <w:tabs>
                <w:tab w:val="left" w:pos="699"/>
              </w:tab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Pr>
                <w:rFonts w:ascii="Arial" w:hAnsi="Arial" w:cs="Arial"/>
                <w:color w:val="FFFFFF" w:themeColor="background1"/>
                <w:sz w:val="18"/>
                <w:szCs w:val="18"/>
              </w:rPr>
              <w:t>Latest 52 weeks</w:t>
            </w:r>
            <w:r>
              <w:rPr>
                <w:rFonts w:ascii="Arial" w:hAnsi="Arial" w:cs="Arial"/>
                <w:bCs w:val="0"/>
                <w:color w:val="FFFFFF" w:themeColor="background1"/>
                <w:sz w:val="18"/>
                <w:szCs w:val="18"/>
              </w:rPr>
              <w:t xml:space="preserve"> </w:t>
            </w:r>
          </w:p>
        </w:tc>
      </w:tr>
      <w:tr w:rsidR="00103377" w:rsidRPr="00BC7615" w14:paraId="7B659F20" w14:textId="77777777" w:rsidTr="00E35E79">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225" w:type="dxa"/>
            <w:shd w:val="clear" w:color="auto" w:fill="17365D" w:themeFill="text2" w:themeFillShade="BF"/>
            <w:noWrap/>
            <w:hideMark/>
          </w:tcPr>
          <w:p w14:paraId="75B877BB" w14:textId="77777777" w:rsidR="00AD0DD7" w:rsidRPr="00BC7615" w:rsidRDefault="00AD0DD7" w:rsidP="00AD0DD7">
            <w:pPr>
              <w:rPr>
                <w:rFonts w:ascii="Arial" w:eastAsia="Times New Roman" w:hAnsi="Arial" w:cs="Arial"/>
                <w:b w:val="0"/>
                <w:bCs w:val="0"/>
                <w:color w:val="FFFFFF" w:themeColor="background1"/>
                <w:sz w:val="18"/>
                <w:szCs w:val="18"/>
              </w:rPr>
            </w:pPr>
          </w:p>
        </w:tc>
        <w:tc>
          <w:tcPr>
            <w:tcW w:w="882" w:type="dxa"/>
            <w:shd w:val="clear" w:color="auto" w:fill="17365D" w:themeFill="text2" w:themeFillShade="BF"/>
          </w:tcPr>
          <w:p w14:paraId="40D62DE1" w14:textId="77777777" w:rsidR="00AD0DD7" w:rsidRPr="00BC7615" w:rsidRDefault="00AD0DD7" w:rsidP="00AD0DD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 xml:space="preserve">Dollar </w:t>
            </w:r>
          </w:p>
          <w:p w14:paraId="73AAEEC5" w14:textId="77777777" w:rsidR="00AD0DD7" w:rsidRPr="00BC7615" w:rsidRDefault="00AD0DD7" w:rsidP="00AD0DD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size</w:t>
            </w:r>
          </w:p>
        </w:tc>
        <w:tc>
          <w:tcPr>
            <w:tcW w:w="853" w:type="dxa"/>
            <w:shd w:val="clear" w:color="auto" w:fill="17365D" w:themeFill="text2" w:themeFillShade="BF"/>
          </w:tcPr>
          <w:p w14:paraId="7F96FA31" w14:textId="77777777" w:rsidR="00AD0DD7" w:rsidRPr="00BC7615" w:rsidRDefault="00AD0DD7" w:rsidP="00AD0DD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Dollars</w:t>
            </w:r>
          </w:p>
          <w:p w14:paraId="5E09291A" w14:textId="77777777" w:rsidR="00AD0DD7" w:rsidRPr="00BC7615" w:rsidRDefault="00AD0DD7" w:rsidP="00AD0DD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BC7615">
              <w:rPr>
                <w:rFonts w:ascii="Arial" w:eastAsia="Times New Roman" w:hAnsi="Arial" w:cs="Arial"/>
                <w:color w:val="FFFFFF" w:themeColor="background1"/>
                <w:sz w:val="18"/>
                <w:szCs w:val="20"/>
              </w:rPr>
              <w:t>vs. YA</w:t>
            </w:r>
          </w:p>
        </w:tc>
        <w:tc>
          <w:tcPr>
            <w:tcW w:w="913" w:type="dxa"/>
            <w:shd w:val="clear" w:color="auto" w:fill="17365D" w:themeFill="text2" w:themeFillShade="BF"/>
          </w:tcPr>
          <w:p w14:paraId="207ABBAA" w14:textId="4612084C" w:rsidR="00AD0DD7" w:rsidRPr="00BC7615" w:rsidRDefault="00AD0DD7" w:rsidP="00AD0DD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 xml:space="preserve">Dollars </w:t>
            </w:r>
            <w:r w:rsidRPr="00BC7615">
              <w:rPr>
                <w:rFonts w:ascii="Arial" w:eastAsia="Times New Roman" w:hAnsi="Arial" w:cs="Arial"/>
                <w:color w:val="FFFFFF" w:themeColor="background1"/>
                <w:sz w:val="18"/>
                <w:szCs w:val="20"/>
              </w:rPr>
              <w:br/>
              <w:t xml:space="preserve"> vs. </w:t>
            </w:r>
            <w:r w:rsidR="00AD4C9E">
              <w:rPr>
                <w:rFonts w:ascii="Arial" w:eastAsia="Times New Roman" w:hAnsi="Arial" w:cs="Arial"/>
                <w:color w:val="FFFFFF" w:themeColor="background1"/>
                <w:sz w:val="18"/>
                <w:szCs w:val="20"/>
              </w:rPr>
              <w:t>2</w:t>
            </w:r>
            <w:r w:rsidRPr="00BC7615">
              <w:rPr>
                <w:rFonts w:ascii="Arial" w:eastAsia="Times New Roman" w:hAnsi="Arial" w:cs="Arial"/>
                <w:color w:val="FFFFFF" w:themeColor="background1"/>
                <w:sz w:val="18"/>
                <w:szCs w:val="20"/>
              </w:rPr>
              <w:t>YA</w:t>
            </w:r>
          </w:p>
        </w:tc>
        <w:tc>
          <w:tcPr>
            <w:tcW w:w="883" w:type="dxa"/>
            <w:shd w:val="clear" w:color="auto" w:fill="17365D" w:themeFill="text2" w:themeFillShade="BF"/>
          </w:tcPr>
          <w:p w14:paraId="1F7E2DD8" w14:textId="354A8BD5" w:rsidR="00AD0DD7" w:rsidRPr="00BC7615" w:rsidRDefault="00AD0DD7" w:rsidP="00AD0DD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Pr>
                <w:rFonts w:ascii="Arial" w:eastAsia="Times New Roman" w:hAnsi="Arial" w:cs="Arial"/>
                <w:color w:val="FFFFFF" w:themeColor="background1"/>
                <w:sz w:val="18"/>
                <w:szCs w:val="20"/>
              </w:rPr>
              <w:t>lbs</w:t>
            </w:r>
            <w:r w:rsidRPr="00BC7615">
              <w:rPr>
                <w:rFonts w:ascii="Arial" w:eastAsia="Times New Roman" w:hAnsi="Arial" w:cs="Arial"/>
                <w:color w:val="FFFFFF" w:themeColor="background1"/>
                <w:sz w:val="18"/>
                <w:szCs w:val="20"/>
              </w:rPr>
              <w:br/>
              <w:t xml:space="preserve"> vs. YA</w:t>
            </w:r>
          </w:p>
        </w:tc>
        <w:tc>
          <w:tcPr>
            <w:tcW w:w="882" w:type="dxa"/>
            <w:shd w:val="clear" w:color="auto" w:fill="17365D" w:themeFill="text2" w:themeFillShade="BF"/>
          </w:tcPr>
          <w:p w14:paraId="46B17D14" w14:textId="66E2FA5F" w:rsidR="00AD0DD7" w:rsidRPr="00BC7615" w:rsidRDefault="00AD0DD7" w:rsidP="00AD0DD7">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Pr>
                <w:rFonts w:ascii="Arial" w:eastAsia="Times New Roman" w:hAnsi="Arial" w:cs="Arial"/>
                <w:color w:val="FFFFFF" w:themeColor="background1"/>
                <w:sz w:val="18"/>
                <w:szCs w:val="20"/>
              </w:rPr>
              <w:t>lbs</w:t>
            </w:r>
            <w:r w:rsidRPr="00BC7615">
              <w:rPr>
                <w:rFonts w:ascii="Arial" w:eastAsia="Times New Roman" w:hAnsi="Arial" w:cs="Arial"/>
                <w:color w:val="FFFFFF" w:themeColor="background1"/>
                <w:sz w:val="18"/>
                <w:szCs w:val="20"/>
              </w:rPr>
              <w:t xml:space="preserve"> vs. </w:t>
            </w:r>
            <w:r w:rsidR="00AD4C9E">
              <w:rPr>
                <w:rFonts w:ascii="Arial" w:eastAsia="Times New Roman" w:hAnsi="Arial" w:cs="Arial"/>
                <w:color w:val="FFFFFF" w:themeColor="background1"/>
                <w:sz w:val="18"/>
                <w:szCs w:val="20"/>
              </w:rPr>
              <w:t>2</w:t>
            </w:r>
            <w:r w:rsidRPr="00BC7615">
              <w:rPr>
                <w:rFonts w:ascii="Arial" w:eastAsia="Times New Roman" w:hAnsi="Arial" w:cs="Arial"/>
                <w:color w:val="FFFFFF" w:themeColor="background1"/>
                <w:sz w:val="18"/>
                <w:szCs w:val="20"/>
              </w:rPr>
              <w:t>YA</w:t>
            </w:r>
          </w:p>
        </w:tc>
        <w:tc>
          <w:tcPr>
            <w:tcW w:w="832" w:type="dxa"/>
            <w:shd w:val="clear" w:color="auto" w:fill="17365D" w:themeFill="text2" w:themeFillShade="BF"/>
          </w:tcPr>
          <w:p w14:paraId="2218384B" w14:textId="77777777" w:rsidR="00AD0DD7" w:rsidRPr="00BC7615" w:rsidRDefault="00AD0DD7" w:rsidP="00AD0DD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Dollars</w:t>
            </w:r>
          </w:p>
          <w:p w14:paraId="1634486D" w14:textId="77777777" w:rsidR="00AD0DD7" w:rsidRPr="00BC7615" w:rsidRDefault="00AD0DD7" w:rsidP="00AD0DD7">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vs. YA</w:t>
            </w:r>
          </w:p>
        </w:tc>
        <w:tc>
          <w:tcPr>
            <w:tcW w:w="934" w:type="dxa"/>
            <w:shd w:val="clear" w:color="auto" w:fill="17365D" w:themeFill="text2" w:themeFillShade="BF"/>
          </w:tcPr>
          <w:p w14:paraId="6ECB3365" w14:textId="4172CDF6" w:rsidR="00AD0DD7" w:rsidRPr="00BC7615" w:rsidRDefault="00AD0DD7" w:rsidP="00AD0DD7">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 xml:space="preserve">Dollars </w:t>
            </w:r>
            <w:r w:rsidRPr="00BC7615">
              <w:rPr>
                <w:rFonts w:ascii="Arial" w:eastAsia="Times New Roman" w:hAnsi="Arial" w:cs="Arial"/>
                <w:color w:val="FFFFFF" w:themeColor="background1"/>
                <w:sz w:val="18"/>
                <w:szCs w:val="20"/>
              </w:rPr>
              <w:br/>
              <w:t xml:space="preserve"> vs. </w:t>
            </w:r>
            <w:r w:rsidR="00AD4C9E">
              <w:rPr>
                <w:rFonts w:ascii="Arial" w:eastAsia="Times New Roman" w:hAnsi="Arial" w:cs="Arial"/>
                <w:color w:val="FFFFFF" w:themeColor="background1"/>
                <w:sz w:val="18"/>
                <w:szCs w:val="20"/>
              </w:rPr>
              <w:t>2</w:t>
            </w:r>
            <w:r w:rsidRPr="00BC7615">
              <w:rPr>
                <w:rFonts w:ascii="Arial" w:eastAsia="Times New Roman" w:hAnsi="Arial" w:cs="Arial"/>
                <w:color w:val="FFFFFF" w:themeColor="background1"/>
                <w:sz w:val="18"/>
                <w:szCs w:val="20"/>
              </w:rPr>
              <w:t>YA</w:t>
            </w:r>
          </w:p>
        </w:tc>
        <w:tc>
          <w:tcPr>
            <w:tcW w:w="883" w:type="dxa"/>
            <w:shd w:val="clear" w:color="auto" w:fill="17365D" w:themeFill="text2" w:themeFillShade="BF"/>
          </w:tcPr>
          <w:p w14:paraId="047F9392" w14:textId="62B0E2BD" w:rsidR="00AD0DD7" w:rsidRPr="00BC7615" w:rsidRDefault="00AD0DD7" w:rsidP="00AD0DD7">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Pr>
                <w:rFonts w:ascii="Arial" w:eastAsia="Times New Roman" w:hAnsi="Arial" w:cs="Arial"/>
                <w:color w:val="FFFFFF" w:themeColor="background1"/>
                <w:sz w:val="18"/>
                <w:szCs w:val="20"/>
              </w:rPr>
              <w:t>lbs</w:t>
            </w:r>
            <w:r w:rsidRPr="00BC7615">
              <w:rPr>
                <w:rFonts w:ascii="Arial" w:eastAsia="Times New Roman" w:hAnsi="Arial" w:cs="Arial"/>
                <w:color w:val="FFFFFF" w:themeColor="background1"/>
                <w:sz w:val="18"/>
                <w:szCs w:val="20"/>
              </w:rPr>
              <w:br/>
              <w:t xml:space="preserve"> vs. YA</w:t>
            </w:r>
          </w:p>
        </w:tc>
        <w:tc>
          <w:tcPr>
            <w:tcW w:w="883" w:type="dxa"/>
            <w:shd w:val="clear" w:color="auto" w:fill="17365D" w:themeFill="text2" w:themeFillShade="BF"/>
          </w:tcPr>
          <w:p w14:paraId="2D4CEE7B" w14:textId="72CA89F1" w:rsidR="00AD0DD7" w:rsidRPr="00BC7615" w:rsidRDefault="00AD0DD7" w:rsidP="00AD0DD7">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Pr>
                <w:rFonts w:ascii="Arial" w:eastAsia="Times New Roman" w:hAnsi="Arial" w:cs="Arial"/>
                <w:color w:val="FFFFFF" w:themeColor="background1"/>
                <w:sz w:val="18"/>
                <w:szCs w:val="20"/>
              </w:rPr>
              <w:t>lbs</w:t>
            </w:r>
            <w:r w:rsidRPr="00BC7615">
              <w:rPr>
                <w:rFonts w:ascii="Arial" w:eastAsia="Times New Roman" w:hAnsi="Arial" w:cs="Arial"/>
                <w:color w:val="FFFFFF" w:themeColor="background1"/>
                <w:sz w:val="18"/>
                <w:szCs w:val="20"/>
              </w:rPr>
              <w:t xml:space="preserve"> vs. </w:t>
            </w:r>
            <w:r w:rsidR="00AD4C9E">
              <w:rPr>
                <w:rFonts w:ascii="Arial" w:eastAsia="Times New Roman" w:hAnsi="Arial" w:cs="Arial"/>
                <w:color w:val="FFFFFF" w:themeColor="background1"/>
                <w:sz w:val="18"/>
                <w:szCs w:val="20"/>
              </w:rPr>
              <w:t>2</w:t>
            </w:r>
            <w:r w:rsidRPr="00BC7615">
              <w:rPr>
                <w:rFonts w:ascii="Arial" w:eastAsia="Times New Roman" w:hAnsi="Arial" w:cs="Arial"/>
                <w:color w:val="FFFFFF" w:themeColor="background1"/>
                <w:sz w:val="18"/>
                <w:szCs w:val="20"/>
              </w:rPr>
              <w:t>YA</w:t>
            </w:r>
          </w:p>
        </w:tc>
      </w:tr>
      <w:tr w:rsidR="00193E59" w14:paraId="08CDE343" w14:textId="77777777" w:rsidTr="001C3135">
        <w:trPr>
          <w:trHeight w:val="113"/>
        </w:trPr>
        <w:tc>
          <w:tcPr>
            <w:cnfStyle w:val="001000000000" w:firstRow="0" w:lastRow="0" w:firstColumn="1" w:lastColumn="0" w:oddVBand="0" w:evenVBand="0" w:oddHBand="0" w:evenHBand="0" w:firstRowFirstColumn="0" w:firstRowLastColumn="0" w:lastRowFirstColumn="0" w:lastRowLastColumn="0"/>
            <w:tcW w:w="2225" w:type="dxa"/>
            <w:noWrap/>
            <w:vAlign w:val="center"/>
            <w:hideMark/>
          </w:tcPr>
          <w:p w14:paraId="0496828B" w14:textId="73C41C32" w:rsidR="00193E59" w:rsidRPr="002E485B" w:rsidRDefault="00193E59" w:rsidP="00193E59">
            <w:pPr>
              <w:rPr>
                <w:rFonts w:ascii="Arial" w:eastAsia="Times New Roman" w:hAnsi="Arial" w:cs="Arial"/>
                <w:bCs w:val="0"/>
                <w:color w:val="000000" w:themeColor="text1"/>
                <w:sz w:val="18"/>
                <w:szCs w:val="18"/>
              </w:rPr>
            </w:pPr>
            <w:r w:rsidRPr="002E485B">
              <w:rPr>
                <w:rFonts w:ascii="Arial" w:hAnsi="Arial" w:cs="Arial"/>
                <w:bCs w:val="0"/>
                <w:color w:val="000000" w:themeColor="text1"/>
                <w:sz w:val="18"/>
                <w:szCs w:val="18"/>
              </w:rPr>
              <w:t>Total meat department</w:t>
            </w:r>
          </w:p>
        </w:tc>
        <w:tc>
          <w:tcPr>
            <w:tcW w:w="882" w:type="dxa"/>
            <w:vAlign w:val="bottom"/>
          </w:tcPr>
          <w:p w14:paraId="1D1AC1F9" w14:textId="07A4D1DF" w:rsidR="00193E59" w:rsidRPr="00051D8D" w:rsidRDefault="00193E59" w:rsidP="00193E59">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051D8D">
              <w:rPr>
                <w:rFonts w:ascii="Arial" w:hAnsi="Arial" w:cs="Arial"/>
                <w:b/>
                <w:bCs/>
                <w:color w:val="000000"/>
                <w:sz w:val="18"/>
                <w:szCs w:val="18"/>
              </w:rPr>
              <w:t>$</w:t>
            </w:r>
            <w:r w:rsidR="00A734AF">
              <w:rPr>
                <w:rFonts w:ascii="Arial" w:hAnsi="Arial" w:cs="Arial"/>
                <w:b/>
                <w:bCs/>
                <w:color w:val="000000"/>
                <w:sz w:val="18"/>
                <w:szCs w:val="18"/>
              </w:rPr>
              <w:t>8.5</w:t>
            </w:r>
            <w:r w:rsidRPr="00051D8D">
              <w:rPr>
                <w:rFonts w:ascii="Arial" w:hAnsi="Arial" w:cs="Arial"/>
                <w:b/>
                <w:bCs/>
                <w:color w:val="000000"/>
                <w:sz w:val="18"/>
                <w:szCs w:val="18"/>
              </w:rPr>
              <w:t>B</w:t>
            </w:r>
          </w:p>
        </w:tc>
        <w:tc>
          <w:tcPr>
            <w:tcW w:w="853" w:type="dxa"/>
          </w:tcPr>
          <w:p w14:paraId="26903F21" w14:textId="62540665" w:rsidR="00193E59" w:rsidRPr="000D7CB9" w:rsidRDefault="00193E59" w:rsidP="00193E5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8"/>
                <w:szCs w:val="18"/>
              </w:rPr>
            </w:pPr>
            <w:r w:rsidRPr="000D7CB9">
              <w:rPr>
                <w:rFonts w:ascii="Arial" w:hAnsi="Arial" w:cs="Arial"/>
                <w:b/>
                <w:color w:val="000000"/>
                <w:sz w:val="18"/>
                <w:szCs w:val="18"/>
              </w:rPr>
              <w:t>+</w:t>
            </w:r>
            <w:r w:rsidR="00A734AF">
              <w:rPr>
                <w:rFonts w:ascii="Arial" w:hAnsi="Arial" w:cs="Arial"/>
                <w:b/>
                <w:color w:val="000000"/>
                <w:sz w:val="18"/>
                <w:szCs w:val="18"/>
              </w:rPr>
              <w:t>5.0</w:t>
            </w:r>
            <w:r w:rsidRPr="000D7CB9">
              <w:rPr>
                <w:rFonts w:ascii="Arial" w:hAnsi="Arial" w:cs="Arial"/>
                <w:b/>
                <w:color w:val="000000"/>
                <w:sz w:val="18"/>
                <w:szCs w:val="18"/>
              </w:rPr>
              <w:t>%</w:t>
            </w:r>
          </w:p>
        </w:tc>
        <w:tc>
          <w:tcPr>
            <w:tcW w:w="913" w:type="dxa"/>
          </w:tcPr>
          <w:p w14:paraId="06D2AE62" w14:textId="2DFCB328" w:rsidR="00193E59" w:rsidRPr="000D7CB9" w:rsidRDefault="00193E59" w:rsidP="00193E59">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0D7CB9">
              <w:rPr>
                <w:rFonts w:ascii="Arial" w:hAnsi="Arial" w:cs="Arial"/>
                <w:b/>
                <w:color w:val="000000"/>
                <w:sz w:val="18"/>
                <w:szCs w:val="18"/>
              </w:rPr>
              <w:t>+</w:t>
            </w:r>
            <w:r w:rsidR="00A734AF">
              <w:rPr>
                <w:rFonts w:ascii="Arial" w:hAnsi="Arial" w:cs="Arial"/>
                <w:b/>
                <w:color w:val="000000"/>
                <w:sz w:val="18"/>
                <w:szCs w:val="18"/>
              </w:rPr>
              <w:t>7.4</w:t>
            </w:r>
            <w:r w:rsidRPr="000D7CB9">
              <w:rPr>
                <w:rFonts w:ascii="Arial" w:hAnsi="Arial" w:cs="Arial"/>
                <w:b/>
                <w:color w:val="000000"/>
                <w:sz w:val="18"/>
                <w:szCs w:val="18"/>
              </w:rPr>
              <w:t>%</w:t>
            </w:r>
          </w:p>
        </w:tc>
        <w:tc>
          <w:tcPr>
            <w:tcW w:w="883" w:type="dxa"/>
          </w:tcPr>
          <w:p w14:paraId="5B788D76" w14:textId="78C275BA" w:rsidR="00193E59" w:rsidRPr="000D7CB9" w:rsidRDefault="00193E59" w:rsidP="00193E59">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0D7CB9">
              <w:rPr>
                <w:rFonts w:ascii="Arial" w:hAnsi="Arial" w:cs="Arial"/>
                <w:b/>
                <w:color w:val="000000"/>
                <w:sz w:val="18"/>
                <w:szCs w:val="18"/>
              </w:rPr>
              <w:t>+</w:t>
            </w:r>
            <w:r w:rsidR="00A734AF">
              <w:rPr>
                <w:rFonts w:ascii="Arial" w:hAnsi="Arial" w:cs="Arial"/>
                <w:b/>
                <w:color w:val="000000"/>
                <w:sz w:val="18"/>
                <w:szCs w:val="18"/>
              </w:rPr>
              <w:t>1.8</w:t>
            </w:r>
            <w:r w:rsidRPr="000D7CB9">
              <w:rPr>
                <w:rFonts w:ascii="Arial" w:hAnsi="Arial" w:cs="Arial"/>
                <w:b/>
                <w:color w:val="000000"/>
                <w:sz w:val="18"/>
                <w:szCs w:val="18"/>
              </w:rPr>
              <w:t>%</w:t>
            </w:r>
          </w:p>
        </w:tc>
        <w:tc>
          <w:tcPr>
            <w:tcW w:w="882" w:type="dxa"/>
            <w:tcBorders>
              <w:right w:val="single" w:sz="4" w:space="0" w:color="1F497D" w:themeColor="text2"/>
            </w:tcBorders>
          </w:tcPr>
          <w:p w14:paraId="3AD7D9FC" w14:textId="3A4C8AE9" w:rsidR="00193E59" w:rsidRPr="000D7CB9" w:rsidRDefault="00A734AF" w:rsidP="00193E59">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color w:val="000000"/>
                <w:sz w:val="18"/>
                <w:szCs w:val="18"/>
              </w:rPr>
              <w:t>-2.5</w:t>
            </w:r>
            <w:r w:rsidR="00193E59" w:rsidRPr="000D7CB9">
              <w:rPr>
                <w:rFonts w:ascii="Arial" w:hAnsi="Arial" w:cs="Arial"/>
                <w:b/>
                <w:color w:val="000000"/>
                <w:sz w:val="18"/>
                <w:szCs w:val="18"/>
              </w:rPr>
              <w:t>%</w:t>
            </w:r>
          </w:p>
        </w:tc>
        <w:tc>
          <w:tcPr>
            <w:tcW w:w="832" w:type="dxa"/>
            <w:tcBorders>
              <w:left w:val="single" w:sz="4" w:space="0" w:color="1F497D" w:themeColor="text2"/>
            </w:tcBorders>
          </w:tcPr>
          <w:p w14:paraId="05D26487" w14:textId="42BC2248" w:rsidR="00193E59" w:rsidRPr="000D7CB9" w:rsidRDefault="00193E59" w:rsidP="00193E59">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0D7CB9">
              <w:rPr>
                <w:rFonts w:ascii="Arial" w:hAnsi="Arial" w:cs="Arial"/>
                <w:b/>
                <w:color w:val="000000"/>
                <w:sz w:val="18"/>
                <w:szCs w:val="18"/>
              </w:rPr>
              <w:t>+</w:t>
            </w:r>
            <w:r w:rsidR="00A734AF">
              <w:rPr>
                <w:rFonts w:ascii="Arial" w:hAnsi="Arial" w:cs="Arial"/>
                <w:b/>
                <w:color w:val="000000"/>
                <w:sz w:val="18"/>
                <w:szCs w:val="18"/>
              </w:rPr>
              <w:t>8.4</w:t>
            </w:r>
            <w:r w:rsidRPr="000D7CB9">
              <w:rPr>
                <w:rFonts w:ascii="Arial" w:hAnsi="Arial" w:cs="Arial"/>
                <w:b/>
                <w:color w:val="000000"/>
                <w:sz w:val="18"/>
                <w:szCs w:val="18"/>
              </w:rPr>
              <w:t>%</w:t>
            </w:r>
          </w:p>
        </w:tc>
        <w:tc>
          <w:tcPr>
            <w:tcW w:w="934" w:type="dxa"/>
          </w:tcPr>
          <w:p w14:paraId="7367498F" w14:textId="65E69E80" w:rsidR="00193E59" w:rsidRPr="000D7CB9" w:rsidRDefault="00193E59" w:rsidP="00193E59">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0D7CB9">
              <w:rPr>
                <w:rFonts w:ascii="Arial" w:hAnsi="Arial" w:cs="Arial"/>
                <w:b/>
                <w:color w:val="000000"/>
                <w:sz w:val="18"/>
                <w:szCs w:val="18"/>
              </w:rPr>
              <w:t>+</w:t>
            </w:r>
            <w:r w:rsidR="00A734AF">
              <w:rPr>
                <w:rFonts w:ascii="Arial" w:hAnsi="Arial" w:cs="Arial"/>
                <w:b/>
                <w:color w:val="000000"/>
                <w:sz w:val="18"/>
                <w:szCs w:val="18"/>
              </w:rPr>
              <w:t>16.8</w:t>
            </w:r>
            <w:r w:rsidRPr="000D7CB9">
              <w:rPr>
                <w:rFonts w:ascii="Arial" w:hAnsi="Arial" w:cs="Arial"/>
                <w:b/>
                <w:color w:val="000000"/>
                <w:sz w:val="18"/>
                <w:szCs w:val="18"/>
              </w:rPr>
              <w:t>%</w:t>
            </w:r>
          </w:p>
        </w:tc>
        <w:tc>
          <w:tcPr>
            <w:tcW w:w="883" w:type="dxa"/>
          </w:tcPr>
          <w:p w14:paraId="5C7DEDD5" w14:textId="0EB0B200" w:rsidR="00193E59" w:rsidRPr="000D7CB9" w:rsidRDefault="00193E59" w:rsidP="00193E59">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8"/>
                <w:szCs w:val="18"/>
              </w:rPr>
            </w:pPr>
            <w:r w:rsidRPr="000D7CB9">
              <w:rPr>
                <w:rFonts w:ascii="Arial" w:hAnsi="Arial" w:cs="Arial"/>
                <w:b/>
                <w:color w:val="000000"/>
                <w:sz w:val="18"/>
                <w:szCs w:val="18"/>
              </w:rPr>
              <w:t>+</w:t>
            </w:r>
            <w:r w:rsidR="00A734AF">
              <w:rPr>
                <w:rFonts w:ascii="Arial" w:hAnsi="Arial" w:cs="Arial"/>
                <w:b/>
                <w:color w:val="000000"/>
                <w:sz w:val="18"/>
                <w:szCs w:val="18"/>
              </w:rPr>
              <w:t>2.3</w:t>
            </w:r>
            <w:r w:rsidRPr="000D7CB9">
              <w:rPr>
                <w:rFonts w:ascii="Arial" w:hAnsi="Arial" w:cs="Arial"/>
                <w:b/>
                <w:color w:val="000000"/>
                <w:sz w:val="18"/>
                <w:szCs w:val="18"/>
              </w:rPr>
              <w:t>%</w:t>
            </w:r>
          </w:p>
        </w:tc>
        <w:tc>
          <w:tcPr>
            <w:tcW w:w="883" w:type="dxa"/>
          </w:tcPr>
          <w:p w14:paraId="6619DA05" w14:textId="60C40D11" w:rsidR="00193E59" w:rsidRPr="000D7CB9" w:rsidRDefault="00193E59" w:rsidP="00193E59">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0D7CB9">
              <w:rPr>
                <w:rFonts w:ascii="Arial" w:hAnsi="Arial" w:cs="Arial"/>
                <w:b/>
                <w:color w:val="000000"/>
                <w:sz w:val="18"/>
                <w:szCs w:val="18"/>
              </w:rPr>
              <w:t>+</w:t>
            </w:r>
            <w:r w:rsidR="00A734AF">
              <w:rPr>
                <w:rFonts w:ascii="Arial" w:hAnsi="Arial" w:cs="Arial"/>
                <w:b/>
                <w:color w:val="000000"/>
                <w:sz w:val="18"/>
                <w:szCs w:val="18"/>
              </w:rPr>
              <w:t>6.1</w:t>
            </w:r>
            <w:r w:rsidRPr="000D7CB9">
              <w:rPr>
                <w:rFonts w:ascii="Arial" w:hAnsi="Arial" w:cs="Arial"/>
                <w:b/>
                <w:color w:val="000000"/>
                <w:sz w:val="18"/>
                <w:szCs w:val="18"/>
              </w:rPr>
              <w:t>%</w:t>
            </w:r>
          </w:p>
        </w:tc>
      </w:tr>
      <w:tr w:rsidR="00193E59" w14:paraId="7E0E0991" w14:textId="77777777" w:rsidTr="001C3135">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225" w:type="dxa"/>
            <w:shd w:val="clear" w:color="auto" w:fill="D9D9D9" w:themeFill="background1" w:themeFillShade="D9"/>
            <w:noWrap/>
            <w:vAlign w:val="center"/>
          </w:tcPr>
          <w:p w14:paraId="5D9434F7" w14:textId="0F2B7B36" w:rsidR="00193E59" w:rsidRPr="002E485B" w:rsidRDefault="00193E59" w:rsidP="00193E59">
            <w:pPr>
              <w:rPr>
                <w:rFonts w:ascii="Arial" w:eastAsia="Times New Roman" w:hAnsi="Arial" w:cs="Arial"/>
                <w:b w:val="0"/>
                <w:color w:val="000000" w:themeColor="text1"/>
                <w:sz w:val="18"/>
                <w:szCs w:val="18"/>
              </w:rPr>
            </w:pPr>
            <w:r w:rsidRPr="002E485B">
              <w:rPr>
                <w:rFonts w:ascii="Arial" w:hAnsi="Arial" w:cs="Arial"/>
                <w:b w:val="0"/>
                <w:color w:val="000000" w:themeColor="text1"/>
                <w:sz w:val="18"/>
                <w:szCs w:val="18"/>
              </w:rPr>
              <w:t>Fresh meat</w:t>
            </w:r>
          </w:p>
        </w:tc>
        <w:tc>
          <w:tcPr>
            <w:tcW w:w="882" w:type="dxa"/>
            <w:shd w:val="clear" w:color="auto" w:fill="D9D9D9" w:themeFill="background1" w:themeFillShade="D9"/>
            <w:vAlign w:val="bottom"/>
          </w:tcPr>
          <w:p w14:paraId="19C0C757" w14:textId="4B1F4606" w:rsidR="00193E59" w:rsidRPr="002E485B" w:rsidRDefault="00193E59" w:rsidP="00193E5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color w:val="000000"/>
                <w:sz w:val="18"/>
                <w:szCs w:val="18"/>
              </w:rPr>
              <w:t>$</w:t>
            </w:r>
            <w:r w:rsidR="00A734AF">
              <w:rPr>
                <w:rFonts w:ascii="Arial" w:hAnsi="Arial" w:cs="Arial"/>
                <w:color w:val="000000"/>
                <w:sz w:val="18"/>
                <w:szCs w:val="18"/>
              </w:rPr>
              <w:t>6.2</w:t>
            </w:r>
            <w:r w:rsidRPr="002E485B">
              <w:rPr>
                <w:rFonts w:ascii="Arial" w:hAnsi="Arial" w:cs="Arial"/>
                <w:color w:val="000000"/>
                <w:sz w:val="18"/>
                <w:szCs w:val="18"/>
              </w:rPr>
              <w:t>B</w:t>
            </w:r>
          </w:p>
        </w:tc>
        <w:tc>
          <w:tcPr>
            <w:tcW w:w="853" w:type="dxa"/>
            <w:shd w:val="clear" w:color="auto" w:fill="D9D9D9" w:themeFill="background1" w:themeFillShade="D9"/>
          </w:tcPr>
          <w:p w14:paraId="13AC25C1" w14:textId="10553EC4" w:rsidR="00193E59" w:rsidRPr="002E485B" w:rsidRDefault="00193E59" w:rsidP="00193E5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2D64CB">
              <w:rPr>
                <w:rFonts w:ascii="Arial" w:hAnsi="Arial" w:cs="Arial"/>
                <w:color w:val="000000"/>
                <w:sz w:val="18"/>
                <w:szCs w:val="18"/>
              </w:rPr>
              <w:t>+</w:t>
            </w:r>
            <w:r w:rsidR="00A734AF">
              <w:rPr>
                <w:rFonts w:ascii="Arial" w:hAnsi="Arial" w:cs="Arial"/>
                <w:color w:val="000000"/>
                <w:sz w:val="18"/>
                <w:szCs w:val="18"/>
              </w:rPr>
              <w:t>6.0</w:t>
            </w:r>
            <w:r w:rsidRPr="002D64CB">
              <w:rPr>
                <w:rFonts w:ascii="Arial" w:hAnsi="Arial" w:cs="Arial"/>
                <w:color w:val="000000"/>
                <w:sz w:val="18"/>
                <w:szCs w:val="18"/>
              </w:rPr>
              <w:t>%</w:t>
            </w:r>
          </w:p>
        </w:tc>
        <w:tc>
          <w:tcPr>
            <w:tcW w:w="913" w:type="dxa"/>
            <w:shd w:val="clear" w:color="auto" w:fill="D9D9D9" w:themeFill="background1" w:themeFillShade="D9"/>
          </w:tcPr>
          <w:p w14:paraId="4E312C16" w14:textId="4E212E77" w:rsidR="00193E59" w:rsidRPr="002E485B" w:rsidRDefault="00193E59"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2D64CB">
              <w:rPr>
                <w:rFonts w:ascii="Arial" w:hAnsi="Arial" w:cs="Arial"/>
                <w:color w:val="000000"/>
                <w:sz w:val="18"/>
                <w:szCs w:val="18"/>
              </w:rPr>
              <w:t>+</w:t>
            </w:r>
            <w:r w:rsidR="00A734AF">
              <w:rPr>
                <w:rFonts w:ascii="Arial" w:hAnsi="Arial" w:cs="Arial"/>
                <w:color w:val="000000"/>
                <w:sz w:val="18"/>
                <w:szCs w:val="18"/>
              </w:rPr>
              <w:t>13.9</w:t>
            </w:r>
            <w:r w:rsidRPr="002D64CB">
              <w:rPr>
                <w:rFonts w:ascii="Arial" w:hAnsi="Arial" w:cs="Arial"/>
                <w:color w:val="000000"/>
                <w:sz w:val="18"/>
                <w:szCs w:val="18"/>
              </w:rPr>
              <w:t>%</w:t>
            </w:r>
          </w:p>
        </w:tc>
        <w:tc>
          <w:tcPr>
            <w:tcW w:w="883" w:type="dxa"/>
            <w:shd w:val="clear" w:color="auto" w:fill="D9D9D9" w:themeFill="background1" w:themeFillShade="D9"/>
          </w:tcPr>
          <w:p w14:paraId="4F753310" w14:textId="4FFD72AC" w:rsidR="00193E59" w:rsidRPr="002E485B" w:rsidRDefault="00193E59"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2D64CB">
              <w:rPr>
                <w:rFonts w:ascii="Arial" w:hAnsi="Arial" w:cs="Arial"/>
                <w:color w:val="000000"/>
                <w:sz w:val="18"/>
                <w:szCs w:val="18"/>
              </w:rPr>
              <w:t>+</w:t>
            </w:r>
            <w:r w:rsidR="00A734AF">
              <w:rPr>
                <w:rFonts w:ascii="Arial" w:hAnsi="Arial" w:cs="Arial"/>
                <w:color w:val="000000"/>
                <w:sz w:val="18"/>
                <w:szCs w:val="18"/>
              </w:rPr>
              <w:t>0.9</w:t>
            </w:r>
            <w:r w:rsidRPr="002D64CB">
              <w:rPr>
                <w:rFonts w:ascii="Arial" w:hAnsi="Arial" w:cs="Arial"/>
                <w:color w:val="000000"/>
                <w:sz w:val="18"/>
                <w:szCs w:val="18"/>
              </w:rPr>
              <w:t>%</w:t>
            </w:r>
          </w:p>
        </w:tc>
        <w:tc>
          <w:tcPr>
            <w:tcW w:w="882" w:type="dxa"/>
            <w:tcBorders>
              <w:right w:val="single" w:sz="4" w:space="0" w:color="1F497D" w:themeColor="text2"/>
            </w:tcBorders>
            <w:shd w:val="clear" w:color="auto" w:fill="D9D9D9" w:themeFill="background1" w:themeFillShade="D9"/>
          </w:tcPr>
          <w:p w14:paraId="5E34DC4E" w14:textId="6976A374" w:rsidR="00193E59" w:rsidRPr="002E485B" w:rsidRDefault="00193E59" w:rsidP="00193E59">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2D64CB">
              <w:rPr>
                <w:rFonts w:ascii="Arial" w:hAnsi="Arial" w:cs="Arial"/>
                <w:color w:val="000000"/>
                <w:sz w:val="18"/>
                <w:szCs w:val="18"/>
              </w:rPr>
              <w:t>+</w:t>
            </w:r>
            <w:r w:rsidR="00A734AF">
              <w:rPr>
                <w:rFonts w:ascii="Arial" w:hAnsi="Arial" w:cs="Arial"/>
                <w:color w:val="000000"/>
                <w:sz w:val="18"/>
                <w:szCs w:val="18"/>
              </w:rPr>
              <w:t>3.7</w:t>
            </w:r>
            <w:r w:rsidRPr="002D64CB">
              <w:rPr>
                <w:rFonts w:ascii="Arial" w:hAnsi="Arial" w:cs="Arial"/>
                <w:color w:val="000000"/>
                <w:sz w:val="18"/>
                <w:szCs w:val="18"/>
              </w:rPr>
              <w:t>%</w:t>
            </w:r>
          </w:p>
        </w:tc>
        <w:tc>
          <w:tcPr>
            <w:tcW w:w="832" w:type="dxa"/>
            <w:tcBorders>
              <w:left w:val="single" w:sz="4" w:space="0" w:color="1F497D" w:themeColor="text2"/>
            </w:tcBorders>
            <w:shd w:val="clear" w:color="auto" w:fill="D9D9D9" w:themeFill="background1" w:themeFillShade="D9"/>
          </w:tcPr>
          <w:p w14:paraId="2CF480F7" w14:textId="38162F8F" w:rsidR="00193E59" w:rsidRPr="002E485B" w:rsidRDefault="00193E59" w:rsidP="00193E59">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2D64CB">
              <w:rPr>
                <w:rFonts w:ascii="Arial" w:hAnsi="Arial" w:cs="Arial"/>
                <w:color w:val="000000"/>
                <w:sz w:val="18"/>
                <w:szCs w:val="18"/>
              </w:rPr>
              <w:t>+</w:t>
            </w:r>
            <w:r w:rsidR="00A734AF">
              <w:rPr>
                <w:rFonts w:ascii="Arial" w:hAnsi="Arial" w:cs="Arial"/>
                <w:color w:val="000000"/>
                <w:sz w:val="18"/>
                <w:szCs w:val="18"/>
              </w:rPr>
              <w:t>2.3</w:t>
            </w:r>
            <w:r w:rsidRPr="002D64CB">
              <w:rPr>
                <w:rFonts w:ascii="Arial" w:hAnsi="Arial" w:cs="Arial"/>
                <w:color w:val="000000"/>
                <w:sz w:val="18"/>
                <w:szCs w:val="18"/>
              </w:rPr>
              <w:t>%</w:t>
            </w:r>
          </w:p>
        </w:tc>
        <w:tc>
          <w:tcPr>
            <w:tcW w:w="934" w:type="dxa"/>
            <w:shd w:val="clear" w:color="auto" w:fill="D9D9D9" w:themeFill="background1" w:themeFillShade="D9"/>
          </w:tcPr>
          <w:p w14:paraId="3B045B66" w14:textId="03648C3B" w:rsidR="00193E59" w:rsidRPr="002E485B" w:rsidRDefault="00193E59" w:rsidP="00193E59">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2D64CB">
              <w:rPr>
                <w:rFonts w:ascii="Arial" w:hAnsi="Arial" w:cs="Arial"/>
                <w:color w:val="000000"/>
                <w:sz w:val="18"/>
                <w:szCs w:val="18"/>
              </w:rPr>
              <w:t>+</w:t>
            </w:r>
            <w:r w:rsidR="00A734AF">
              <w:rPr>
                <w:rFonts w:ascii="Arial" w:hAnsi="Arial" w:cs="Arial"/>
                <w:color w:val="000000"/>
                <w:sz w:val="18"/>
                <w:szCs w:val="18"/>
              </w:rPr>
              <w:t>2.1</w:t>
            </w:r>
            <w:r w:rsidRPr="002D64CB">
              <w:rPr>
                <w:rFonts w:ascii="Arial" w:hAnsi="Arial" w:cs="Arial"/>
                <w:color w:val="000000"/>
                <w:sz w:val="18"/>
                <w:szCs w:val="18"/>
              </w:rPr>
              <w:t>%</w:t>
            </w:r>
          </w:p>
        </w:tc>
        <w:tc>
          <w:tcPr>
            <w:tcW w:w="883" w:type="dxa"/>
            <w:shd w:val="clear" w:color="auto" w:fill="D9D9D9" w:themeFill="background1" w:themeFillShade="D9"/>
          </w:tcPr>
          <w:p w14:paraId="31331F76" w14:textId="2464D772" w:rsidR="00193E59" w:rsidRPr="002E485B" w:rsidRDefault="00193E59" w:rsidP="00193E59">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2D64CB">
              <w:rPr>
                <w:rFonts w:ascii="Arial" w:hAnsi="Arial" w:cs="Arial"/>
                <w:color w:val="000000"/>
                <w:sz w:val="18"/>
                <w:szCs w:val="18"/>
              </w:rPr>
              <w:t>+</w:t>
            </w:r>
            <w:r w:rsidR="00A734AF">
              <w:rPr>
                <w:rFonts w:ascii="Arial" w:hAnsi="Arial" w:cs="Arial"/>
                <w:color w:val="000000"/>
                <w:sz w:val="18"/>
                <w:szCs w:val="18"/>
              </w:rPr>
              <w:t>1.0</w:t>
            </w:r>
            <w:r w:rsidRPr="002D64CB">
              <w:rPr>
                <w:rFonts w:ascii="Arial" w:hAnsi="Arial" w:cs="Arial"/>
                <w:color w:val="000000"/>
                <w:sz w:val="18"/>
                <w:szCs w:val="18"/>
              </w:rPr>
              <w:t>%</w:t>
            </w:r>
          </w:p>
        </w:tc>
        <w:tc>
          <w:tcPr>
            <w:tcW w:w="883" w:type="dxa"/>
            <w:shd w:val="clear" w:color="auto" w:fill="D9D9D9" w:themeFill="background1" w:themeFillShade="D9"/>
          </w:tcPr>
          <w:p w14:paraId="114ACFAE" w14:textId="2B6B558D" w:rsidR="00193E59" w:rsidRPr="002E485B" w:rsidRDefault="00A734AF" w:rsidP="00193E59">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-1.7</w:t>
            </w:r>
            <w:r w:rsidR="00193E59" w:rsidRPr="002D64CB">
              <w:rPr>
                <w:rFonts w:ascii="Arial" w:hAnsi="Arial" w:cs="Arial"/>
                <w:color w:val="000000"/>
                <w:sz w:val="18"/>
                <w:szCs w:val="18"/>
              </w:rPr>
              <w:t>%</w:t>
            </w:r>
          </w:p>
        </w:tc>
      </w:tr>
      <w:tr w:rsidR="00193E59" w14:paraId="5B87501B" w14:textId="77777777" w:rsidTr="001C3135">
        <w:trPr>
          <w:trHeight w:val="113"/>
        </w:trPr>
        <w:tc>
          <w:tcPr>
            <w:cnfStyle w:val="001000000000" w:firstRow="0" w:lastRow="0" w:firstColumn="1" w:lastColumn="0" w:oddVBand="0" w:evenVBand="0" w:oddHBand="0" w:evenHBand="0" w:firstRowFirstColumn="0" w:firstRowLastColumn="0" w:lastRowFirstColumn="0" w:lastRowLastColumn="0"/>
            <w:tcW w:w="2225" w:type="dxa"/>
            <w:noWrap/>
            <w:vAlign w:val="center"/>
          </w:tcPr>
          <w:p w14:paraId="7B920B30" w14:textId="4ED56659" w:rsidR="00193E59" w:rsidRPr="002E485B" w:rsidRDefault="00193E59" w:rsidP="00193E59">
            <w:pPr>
              <w:rPr>
                <w:rFonts w:ascii="Arial" w:eastAsia="Times New Roman" w:hAnsi="Arial" w:cs="Arial"/>
                <w:b w:val="0"/>
                <w:bCs w:val="0"/>
                <w:color w:val="000000" w:themeColor="text1"/>
                <w:sz w:val="18"/>
                <w:szCs w:val="18"/>
              </w:rPr>
            </w:pPr>
            <w:r w:rsidRPr="002E485B">
              <w:rPr>
                <w:rFonts w:ascii="Arial" w:hAnsi="Arial" w:cs="Arial"/>
                <w:b w:val="0"/>
                <w:color w:val="000000" w:themeColor="text1"/>
                <w:sz w:val="18"/>
                <w:szCs w:val="18"/>
              </w:rPr>
              <w:t>Processed meat</w:t>
            </w:r>
          </w:p>
        </w:tc>
        <w:tc>
          <w:tcPr>
            <w:tcW w:w="882" w:type="dxa"/>
            <w:vAlign w:val="bottom"/>
          </w:tcPr>
          <w:p w14:paraId="2CC43909" w14:textId="5448FBA7" w:rsidR="00193E59" w:rsidRPr="002E485B" w:rsidRDefault="00193E59" w:rsidP="00193E5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color w:val="000000"/>
                <w:sz w:val="18"/>
                <w:szCs w:val="18"/>
              </w:rPr>
              <w:t>$</w:t>
            </w:r>
            <w:r w:rsidR="00A734AF">
              <w:rPr>
                <w:rFonts w:ascii="Arial" w:hAnsi="Arial" w:cs="Arial"/>
                <w:color w:val="000000"/>
                <w:sz w:val="18"/>
                <w:szCs w:val="18"/>
              </w:rPr>
              <w:t>2.3</w:t>
            </w:r>
            <w:r w:rsidRPr="002E485B">
              <w:rPr>
                <w:rFonts w:ascii="Arial" w:hAnsi="Arial" w:cs="Arial"/>
                <w:color w:val="000000"/>
                <w:sz w:val="18"/>
                <w:szCs w:val="18"/>
              </w:rPr>
              <w:t>B</w:t>
            </w:r>
          </w:p>
        </w:tc>
        <w:tc>
          <w:tcPr>
            <w:tcW w:w="853" w:type="dxa"/>
          </w:tcPr>
          <w:p w14:paraId="7ECCC6D6" w14:textId="78C06C59" w:rsidR="00193E59" w:rsidRPr="002E485B" w:rsidRDefault="00A734AF" w:rsidP="00193E5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+2.3</w:t>
            </w:r>
            <w:r w:rsidR="00193E59" w:rsidRPr="00F06454">
              <w:rPr>
                <w:rFonts w:ascii="Arial" w:hAnsi="Arial" w:cs="Arial"/>
                <w:color w:val="000000"/>
                <w:sz w:val="18"/>
                <w:szCs w:val="18"/>
              </w:rPr>
              <w:t>%</w:t>
            </w:r>
          </w:p>
        </w:tc>
        <w:tc>
          <w:tcPr>
            <w:tcW w:w="913" w:type="dxa"/>
          </w:tcPr>
          <w:p w14:paraId="10F50545" w14:textId="3C783EC7" w:rsidR="00193E59" w:rsidRPr="002E485B" w:rsidRDefault="00193E59" w:rsidP="00193E5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w:t>
            </w:r>
            <w:r w:rsidR="00A734AF">
              <w:rPr>
                <w:rFonts w:ascii="Arial" w:hAnsi="Arial" w:cs="Arial"/>
                <w:color w:val="000000"/>
                <w:sz w:val="18"/>
                <w:szCs w:val="18"/>
              </w:rPr>
              <w:t>6.7</w:t>
            </w:r>
            <w:r w:rsidRPr="00F06454">
              <w:rPr>
                <w:rFonts w:ascii="Arial" w:hAnsi="Arial" w:cs="Arial"/>
                <w:color w:val="000000"/>
                <w:sz w:val="18"/>
                <w:szCs w:val="18"/>
              </w:rPr>
              <w:t>%</w:t>
            </w:r>
          </w:p>
        </w:tc>
        <w:tc>
          <w:tcPr>
            <w:tcW w:w="883" w:type="dxa"/>
          </w:tcPr>
          <w:p w14:paraId="22D7CF8E" w14:textId="76D62C28" w:rsidR="00193E59" w:rsidRPr="002E485B" w:rsidRDefault="00A734AF" w:rsidP="00193E5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+4.2</w:t>
            </w:r>
            <w:r w:rsidR="00193E59" w:rsidRPr="00F06454">
              <w:rPr>
                <w:rFonts w:ascii="Arial" w:hAnsi="Arial" w:cs="Arial"/>
                <w:color w:val="000000"/>
                <w:sz w:val="18"/>
                <w:szCs w:val="18"/>
              </w:rPr>
              <w:t>%</w:t>
            </w:r>
          </w:p>
        </w:tc>
        <w:tc>
          <w:tcPr>
            <w:tcW w:w="882" w:type="dxa"/>
            <w:tcBorders>
              <w:right w:val="single" w:sz="4" w:space="0" w:color="1F497D" w:themeColor="text2"/>
            </w:tcBorders>
          </w:tcPr>
          <w:p w14:paraId="4C4249DC" w14:textId="01E171A8" w:rsidR="00193E59" w:rsidRPr="002E485B" w:rsidRDefault="00193E59" w:rsidP="00193E59">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w:t>
            </w:r>
            <w:r w:rsidR="00A734AF">
              <w:rPr>
                <w:rFonts w:ascii="Arial" w:hAnsi="Arial" w:cs="Arial"/>
                <w:color w:val="000000"/>
                <w:sz w:val="18"/>
                <w:szCs w:val="18"/>
              </w:rPr>
              <w:t>16.3</w:t>
            </w:r>
            <w:r w:rsidRPr="00F06454">
              <w:rPr>
                <w:rFonts w:ascii="Arial" w:hAnsi="Arial" w:cs="Arial"/>
                <w:color w:val="000000"/>
                <w:sz w:val="18"/>
                <w:szCs w:val="18"/>
              </w:rPr>
              <w:t>%</w:t>
            </w:r>
          </w:p>
        </w:tc>
        <w:tc>
          <w:tcPr>
            <w:tcW w:w="832" w:type="dxa"/>
            <w:tcBorders>
              <w:left w:val="single" w:sz="4" w:space="0" w:color="1F497D" w:themeColor="text2"/>
            </w:tcBorders>
          </w:tcPr>
          <w:p w14:paraId="26185D82" w14:textId="1A4EF750" w:rsidR="00193E59" w:rsidRPr="002E485B" w:rsidRDefault="00A734AF" w:rsidP="00193E59">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+6.5</w:t>
            </w:r>
            <w:r w:rsidR="00193E59" w:rsidRPr="00F06454">
              <w:rPr>
                <w:rFonts w:ascii="Arial" w:hAnsi="Arial" w:cs="Arial"/>
                <w:color w:val="000000"/>
                <w:sz w:val="18"/>
                <w:szCs w:val="18"/>
              </w:rPr>
              <w:t>%</w:t>
            </w:r>
          </w:p>
        </w:tc>
        <w:tc>
          <w:tcPr>
            <w:tcW w:w="934" w:type="dxa"/>
          </w:tcPr>
          <w:p w14:paraId="0FC7FCE0" w14:textId="66A1C660" w:rsidR="00193E59" w:rsidRPr="002E485B" w:rsidRDefault="00A734AF" w:rsidP="00193E59">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+12.2</w:t>
            </w:r>
            <w:r w:rsidR="00193E59" w:rsidRPr="00F06454">
              <w:rPr>
                <w:rFonts w:ascii="Arial" w:hAnsi="Arial" w:cs="Arial"/>
                <w:color w:val="000000"/>
                <w:sz w:val="18"/>
                <w:szCs w:val="18"/>
              </w:rPr>
              <w:t>%</w:t>
            </w:r>
          </w:p>
        </w:tc>
        <w:tc>
          <w:tcPr>
            <w:tcW w:w="883" w:type="dxa"/>
          </w:tcPr>
          <w:p w14:paraId="063CDD25" w14:textId="409149BF" w:rsidR="00193E59" w:rsidRPr="002E485B" w:rsidRDefault="00A734AF" w:rsidP="00193E59">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color w:val="000000"/>
                <w:sz w:val="18"/>
                <w:szCs w:val="18"/>
              </w:rPr>
              <w:t>+1.9</w:t>
            </w:r>
            <w:r w:rsidR="00193E59" w:rsidRPr="00F06454">
              <w:rPr>
                <w:rFonts w:ascii="Arial" w:hAnsi="Arial" w:cs="Arial"/>
                <w:color w:val="000000"/>
                <w:sz w:val="18"/>
                <w:szCs w:val="18"/>
              </w:rPr>
              <w:t>%</w:t>
            </w:r>
          </w:p>
        </w:tc>
        <w:tc>
          <w:tcPr>
            <w:tcW w:w="883" w:type="dxa"/>
          </w:tcPr>
          <w:p w14:paraId="67FC77A8" w14:textId="5ADFC2BD" w:rsidR="00193E59" w:rsidRPr="002E485B" w:rsidRDefault="00A734AF" w:rsidP="00193E59">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+3.8</w:t>
            </w:r>
            <w:r w:rsidR="00193E59" w:rsidRPr="00F06454">
              <w:rPr>
                <w:rFonts w:ascii="Arial" w:hAnsi="Arial" w:cs="Arial"/>
                <w:color w:val="000000"/>
                <w:sz w:val="18"/>
                <w:szCs w:val="18"/>
              </w:rPr>
              <w:t>%</w:t>
            </w:r>
          </w:p>
        </w:tc>
      </w:tr>
    </w:tbl>
    <w:p w14:paraId="4CDD88EB" w14:textId="77777777" w:rsidR="00F220D0" w:rsidRPr="008A1AD9" w:rsidRDefault="00F220D0" w:rsidP="00F220D0">
      <w:pPr>
        <w:pStyle w:val="NoSpacing"/>
        <w:rPr>
          <w:rFonts w:ascii="Arial" w:hAnsi="Arial" w:cs="Arial"/>
          <w:sz w:val="6"/>
          <w:szCs w:val="6"/>
        </w:rPr>
      </w:pPr>
    </w:p>
    <w:p w14:paraId="69DA7E14" w14:textId="7F5F97D9" w:rsidR="00F220D0" w:rsidRDefault="00F220D0" w:rsidP="00F220D0">
      <w:pPr>
        <w:pStyle w:val="NoSpacing"/>
        <w:rPr>
          <w:rFonts w:ascii="Arial" w:hAnsi="Arial" w:cs="Arial"/>
          <w:color w:val="7F7F7F" w:themeColor="text1" w:themeTint="80"/>
          <w:sz w:val="16"/>
          <w:szCs w:val="16"/>
        </w:rPr>
      </w:pPr>
      <w:r w:rsidRPr="00FE184C">
        <w:rPr>
          <w:rFonts w:ascii="Arial" w:hAnsi="Arial" w:cs="Arial"/>
          <w:color w:val="7F7F7F" w:themeColor="text1" w:themeTint="80"/>
          <w:sz w:val="16"/>
          <w:szCs w:val="16"/>
        </w:rPr>
        <w:t xml:space="preserve">Source: </w:t>
      </w:r>
      <w:r w:rsidR="00FB48FE" w:rsidRPr="00FE184C">
        <w:rPr>
          <w:rFonts w:ascii="Arial" w:hAnsi="Arial" w:cs="Arial"/>
          <w:color w:val="7F7F7F" w:themeColor="text1" w:themeTint="80"/>
          <w:sz w:val="16"/>
          <w:szCs w:val="16"/>
        </w:rPr>
        <w:t>Circana</w:t>
      </w:r>
      <w:r w:rsidRPr="00FE184C">
        <w:rPr>
          <w:rFonts w:ascii="Arial" w:hAnsi="Arial" w:cs="Arial"/>
          <w:color w:val="7F7F7F" w:themeColor="text1" w:themeTint="80"/>
          <w:sz w:val="16"/>
          <w:szCs w:val="16"/>
        </w:rPr>
        <w:t xml:space="preserve">, Integrated Fresh, Total US, </w:t>
      </w:r>
      <w:r w:rsidR="00D85BA4">
        <w:rPr>
          <w:rFonts w:ascii="Arial" w:hAnsi="Arial" w:cs="Arial"/>
          <w:color w:val="7F7F7F" w:themeColor="text1" w:themeTint="80"/>
          <w:sz w:val="16"/>
          <w:szCs w:val="16"/>
        </w:rPr>
        <w:t>MULO+</w:t>
      </w:r>
    </w:p>
    <w:p w14:paraId="4F24373D" w14:textId="31DE61AA" w:rsidR="005632B3" w:rsidRDefault="005632B3" w:rsidP="00A13AC1">
      <w:pPr>
        <w:pStyle w:val="NoSpacing"/>
        <w:rPr>
          <w:rFonts w:ascii="Arial" w:hAnsi="Arial" w:cs="Arial"/>
          <w:color w:val="7F7F7F" w:themeColor="text1" w:themeTint="80"/>
          <w:sz w:val="16"/>
          <w:szCs w:val="16"/>
        </w:rPr>
      </w:pPr>
    </w:p>
    <w:p w14:paraId="34F2FB85" w14:textId="7659DB34" w:rsidR="00433655" w:rsidRDefault="00433655" w:rsidP="00433655">
      <w:pPr>
        <w:pStyle w:val="NoSpacing"/>
        <w:rPr>
          <w:rFonts w:ascii="Arial" w:hAnsi="Arial" w:cs="Arial"/>
          <w:sz w:val="20"/>
          <w:szCs w:val="20"/>
        </w:rPr>
      </w:pPr>
      <w:r w:rsidRPr="00433655">
        <w:rPr>
          <w:rFonts w:ascii="Arial" w:hAnsi="Arial" w:cs="Arial"/>
          <w:sz w:val="20"/>
          <w:szCs w:val="20"/>
        </w:rPr>
        <w:t>Meat department sales have been positive since the fourth quarter of 2023, with dollar gains reflecting a combination of inflation and demand growth. March dollar gains were in line with recent months, with slightly better-than-average pound performance</w:t>
      </w:r>
      <w:r>
        <w:rPr>
          <w:rFonts w:ascii="Arial" w:hAnsi="Arial" w:cs="Arial"/>
          <w:sz w:val="20"/>
          <w:szCs w:val="20"/>
        </w:rPr>
        <w:t xml:space="preserve"> as the rate of inflation is slowing somewhat</w:t>
      </w:r>
      <w:r w:rsidRPr="00433655">
        <w:rPr>
          <w:rFonts w:ascii="Arial" w:hAnsi="Arial" w:cs="Arial"/>
          <w:sz w:val="20"/>
          <w:szCs w:val="20"/>
        </w:rPr>
        <w:t>.</w:t>
      </w:r>
    </w:p>
    <w:p w14:paraId="488AE5BB" w14:textId="77777777" w:rsidR="00433655" w:rsidRPr="00433655" w:rsidRDefault="00433655" w:rsidP="00433655">
      <w:pPr>
        <w:pStyle w:val="NoSpacing"/>
        <w:rPr>
          <w:rFonts w:ascii="Arial" w:hAnsi="Arial" w:cs="Arial"/>
          <w:sz w:val="20"/>
          <w:szCs w:val="20"/>
        </w:rPr>
      </w:pPr>
    </w:p>
    <w:p w14:paraId="68A7F5A8" w14:textId="4655253D" w:rsidR="00433655" w:rsidRPr="00433655" w:rsidRDefault="00433655" w:rsidP="00433655">
      <w:pPr>
        <w:pStyle w:val="NoSpacing"/>
        <w:rPr>
          <w:rFonts w:ascii="Arial" w:hAnsi="Arial" w:cs="Arial"/>
          <w:sz w:val="20"/>
          <w:szCs w:val="20"/>
        </w:rPr>
      </w:pPr>
      <w:r w:rsidRPr="00433655">
        <w:rPr>
          <w:rFonts w:ascii="Arial" w:hAnsi="Arial" w:cs="Arial"/>
          <w:sz w:val="20"/>
          <w:szCs w:val="20"/>
        </w:rPr>
        <w:t>First-quarter pound growth, at +1.1%, was consistent with the prior two quarters. However, the shift in Easter timing</w:t>
      </w:r>
      <w:r>
        <w:rPr>
          <w:rFonts w:ascii="Arial" w:hAnsi="Arial" w:cs="Arial"/>
          <w:sz w:val="20"/>
          <w:szCs w:val="20"/>
        </w:rPr>
        <w:t>,</w:t>
      </w:r>
      <w:r w:rsidRPr="00433655">
        <w:rPr>
          <w:rFonts w:ascii="Arial" w:hAnsi="Arial" w:cs="Arial"/>
          <w:sz w:val="20"/>
          <w:szCs w:val="20"/>
        </w:rPr>
        <w:t xml:space="preserve"> from the first quarter in 2024 to late April in 2025</w:t>
      </w:r>
      <w:r>
        <w:rPr>
          <w:rFonts w:ascii="Arial" w:hAnsi="Arial" w:cs="Arial"/>
          <w:sz w:val="20"/>
          <w:szCs w:val="20"/>
        </w:rPr>
        <w:t xml:space="preserve">, </w:t>
      </w:r>
      <w:r w:rsidRPr="00433655">
        <w:rPr>
          <w:rFonts w:ascii="Arial" w:hAnsi="Arial" w:cs="Arial"/>
          <w:sz w:val="20"/>
          <w:szCs w:val="20"/>
        </w:rPr>
        <w:t>makes first- and second-quarter comparisons more difficult.</w:t>
      </w:r>
    </w:p>
    <w:p w14:paraId="02594DA7" w14:textId="1E0728CD" w:rsidR="00156A0E" w:rsidRDefault="0032247F" w:rsidP="001A63DC">
      <w:pPr>
        <w:pStyle w:val="NoSpacing"/>
        <w:rPr>
          <w:rFonts w:ascii="Arial" w:hAnsi="Arial" w:cs="Arial"/>
          <w:color w:val="7F7F7F" w:themeColor="text1" w:themeTint="80"/>
          <w:sz w:val="16"/>
          <w:szCs w:val="16"/>
        </w:rPr>
      </w:pPr>
      <w:r>
        <w:rPr>
          <w:rFonts w:ascii="Arial" w:hAnsi="Arial" w:cs="Arial"/>
          <w:b/>
          <w:noProof/>
          <w:color w:val="595959" w:themeColor="text1" w:themeTint="A6"/>
          <w:sz w:val="24"/>
          <w:szCs w:val="24"/>
          <w:lang w:val="nl-NL" w:eastAsia="nl-NL"/>
        </w:rPr>
        <w:lastRenderedPageBreak/>
        <w:drawing>
          <wp:anchor distT="0" distB="0" distL="114300" distR="114300" simplePos="0" relativeHeight="251658240" behindDoc="1" locked="0" layoutInCell="1" allowOverlap="1" wp14:anchorId="307F1A45" wp14:editId="43291C6D">
            <wp:simplePos x="0" y="0"/>
            <wp:positionH relativeFrom="page">
              <wp:posOffset>532130</wp:posOffset>
            </wp:positionH>
            <wp:positionV relativeFrom="paragraph">
              <wp:posOffset>159385</wp:posOffset>
            </wp:positionV>
            <wp:extent cx="6638925" cy="2520315"/>
            <wp:effectExtent l="0" t="0" r="9525" b="13335"/>
            <wp:wrapThrough wrapText="bothSides">
              <wp:wrapPolygon edited="0">
                <wp:start x="0" y="0"/>
                <wp:lineTo x="0" y="21551"/>
                <wp:lineTo x="21569" y="21551"/>
                <wp:lineTo x="21569" y="0"/>
                <wp:lineTo x="0" y="0"/>
              </wp:wrapPolygon>
            </wp:wrapThrough>
            <wp:docPr id="1"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68246955" w14:textId="17EAA123" w:rsidR="00A13AC1" w:rsidRDefault="00A13AC1" w:rsidP="00A13AC1">
      <w:pPr>
        <w:pStyle w:val="NoSpacing"/>
        <w:rPr>
          <w:rFonts w:ascii="Arial" w:hAnsi="Arial" w:cs="Arial"/>
          <w:color w:val="7F7F7F" w:themeColor="text1" w:themeTint="80"/>
          <w:sz w:val="16"/>
          <w:szCs w:val="16"/>
        </w:rPr>
      </w:pPr>
    </w:p>
    <w:p w14:paraId="253BC0A7" w14:textId="04BE9E90" w:rsidR="00396F2A" w:rsidRDefault="000D7D53" w:rsidP="00EE41DD">
      <w:pPr>
        <w:pStyle w:val="NoSpacing"/>
        <w:ind w:right="-90"/>
        <w:rPr>
          <w:rFonts w:ascii="Arial" w:hAnsi="Arial" w:cs="Arial"/>
          <w:sz w:val="20"/>
          <w:szCs w:val="20"/>
        </w:rPr>
      </w:pPr>
      <w:r w:rsidRPr="000D7D53">
        <w:rPr>
          <w:rFonts w:ascii="Arial" w:hAnsi="Arial" w:cs="Arial"/>
          <w:sz w:val="20"/>
          <w:szCs w:val="20"/>
        </w:rPr>
        <w:t>March delivered dollar and pound growth in three of the four weeks. Beef bucked the trend once again, posting dollar and pound growth in all four weeks, while chicken fell short in two of the four weeks.</w:t>
      </w:r>
    </w:p>
    <w:p w14:paraId="3B2254BC" w14:textId="77777777" w:rsidR="000D7D53" w:rsidRDefault="000D7D53" w:rsidP="00EE41DD">
      <w:pPr>
        <w:pStyle w:val="NoSpacing"/>
        <w:ind w:right="-90"/>
        <w:rPr>
          <w:rFonts w:ascii="Arial" w:hAnsi="Arial" w:cs="Arial"/>
          <w:sz w:val="20"/>
          <w:szCs w:val="20"/>
        </w:rPr>
      </w:pPr>
    </w:p>
    <w:tbl>
      <w:tblPr>
        <w:tblStyle w:val="ListTable4"/>
        <w:tblpPr w:leftFromText="180" w:rightFromText="180" w:vertAnchor="text" w:tblpY="1"/>
        <w:tblW w:w="10520"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1547"/>
        <w:gridCol w:w="827"/>
        <w:gridCol w:w="845"/>
        <w:gridCol w:w="1043"/>
        <w:gridCol w:w="1043"/>
        <w:gridCol w:w="1043"/>
        <w:gridCol w:w="1043"/>
        <w:gridCol w:w="1043"/>
        <w:gridCol w:w="1043"/>
        <w:gridCol w:w="1043"/>
      </w:tblGrid>
      <w:tr w:rsidR="00396F2A" w:rsidRPr="006777ED" w14:paraId="10B9A884" w14:textId="77777777" w:rsidTr="00396F2A">
        <w:trPr>
          <w:cnfStyle w:val="100000000000" w:firstRow="1" w:lastRow="0" w:firstColumn="0" w:lastColumn="0" w:oddVBand="0" w:evenVBand="0" w:oddHBand="0"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1547" w:type="dxa"/>
            <w:shd w:val="clear" w:color="auto" w:fill="17365D" w:themeFill="text2" w:themeFillShade="BF"/>
            <w:vAlign w:val="center"/>
          </w:tcPr>
          <w:p w14:paraId="70949F25" w14:textId="77777777" w:rsidR="00396F2A" w:rsidRPr="006777ED" w:rsidRDefault="00396F2A" w:rsidP="00464CBE">
            <w:pPr>
              <w:pStyle w:val="NoSpacing"/>
              <w:rPr>
                <w:rFonts w:ascii="Arial" w:hAnsi="Arial" w:cs="Arial"/>
                <w:sz w:val="18"/>
                <w:szCs w:val="18"/>
              </w:rPr>
            </w:pPr>
          </w:p>
        </w:tc>
        <w:tc>
          <w:tcPr>
            <w:tcW w:w="2715" w:type="dxa"/>
            <w:gridSpan w:val="3"/>
            <w:shd w:val="clear" w:color="auto" w:fill="17365D" w:themeFill="text2" w:themeFillShade="BF"/>
          </w:tcPr>
          <w:p w14:paraId="0BD3193C" w14:textId="5D1FB5A3" w:rsidR="00396F2A" w:rsidRPr="006777ED" w:rsidRDefault="00396F2A" w:rsidP="00464CB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Total meat department</w:t>
            </w:r>
          </w:p>
        </w:tc>
        <w:tc>
          <w:tcPr>
            <w:tcW w:w="3129" w:type="dxa"/>
            <w:gridSpan w:val="3"/>
            <w:shd w:val="clear" w:color="auto" w:fill="17365D" w:themeFill="text2" w:themeFillShade="BF"/>
          </w:tcPr>
          <w:p w14:paraId="6ABA3246" w14:textId="1F4F1837" w:rsidR="00396F2A" w:rsidRPr="006777ED" w:rsidRDefault="00396F2A" w:rsidP="00396F2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Beef</w:t>
            </w:r>
          </w:p>
        </w:tc>
        <w:tc>
          <w:tcPr>
            <w:tcW w:w="3129" w:type="dxa"/>
            <w:gridSpan w:val="3"/>
            <w:shd w:val="clear" w:color="auto" w:fill="17365D" w:themeFill="text2" w:themeFillShade="BF"/>
          </w:tcPr>
          <w:p w14:paraId="4AF0BE19" w14:textId="3FE6F76C" w:rsidR="00396F2A" w:rsidRPr="006777ED" w:rsidRDefault="00396F2A" w:rsidP="00396F2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Chicken</w:t>
            </w:r>
          </w:p>
        </w:tc>
      </w:tr>
      <w:tr w:rsidR="00396F2A" w:rsidRPr="006777ED" w14:paraId="31EFDB9E" w14:textId="7D3E101A" w:rsidTr="00396F2A">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1547" w:type="dxa"/>
            <w:shd w:val="clear" w:color="auto" w:fill="17365D" w:themeFill="text2" w:themeFillShade="BF"/>
            <w:vAlign w:val="center"/>
          </w:tcPr>
          <w:p w14:paraId="33D58C15" w14:textId="77777777" w:rsidR="00396F2A" w:rsidRPr="006777ED" w:rsidRDefault="00396F2A" w:rsidP="00396F2A">
            <w:pPr>
              <w:pStyle w:val="NoSpacing"/>
              <w:rPr>
                <w:rFonts w:ascii="Arial" w:hAnsi="Arial" w:cs="Arial"/>
                <w:sz w:val="18"/>
                <w:szCs w:val="18"/>
              </w:rPr>
            </w:pPr>
          </w:p>
        </w:tc>
        <w:tc>
          <w:tcPr>
            <w:tcW w:w="827" w:type="dxa"/>
            <w:shd w:val="clear" w:color="auto" w:fill="17365D" w:themeFill="text2" w:themeFillShade="BF"/>
          </w:tcPr>
          <w:p w14:paraId="226BD806" w14:textId="06095E9B" w:rsidR="00396F2A" w:rsidRPr="006777ED" w:rsidRDefault="00396F2A" w:rsidP="00396F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777ED">
              <w:rPr>
                <w:rFonts w:ascii="Arial" w:hAnsi="Arial" w:cs="Arial"/>
                <w:sz w:val="18"/>
                <w:szCs w:val="18"/>
              </w:rPr>
              <w:t>Dollar</w:t>
            </w:r>
            <w:r>
              <w:rPr>
                <w:rFonts w:ascii="Arial" w:hAnsi="Arial" w:cs="Arial"/>
                <w:sz w:val="18"/>
                <w:szCs w:val="18"/>
              </w:rPr>
              <w:t xml:space="preserve"> sales</w:t>
            </w:r>
          </w:p>
        </w:tc>
        <w:tc>
          <w:tcPr>
            <w:tcW w:w="845" w:type="dxa"/>
            <w:shd w:val="clear" w:color="auto" w:fill="17365D" w:themeFill="text2" w:themeFillShade="BF"/>
          </w:tcPr>
          <w:p w14:paraId="1E4B2238" w14:textId="77777777" w:rsidR="00396F2A" w:rsidRPr="006777ED" w:rsidRDefault="00396F2A" w:rsidP="00396F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777ED">
              <w:rPr>
                <w:rFonts w:ascii="Arial" w:hAnsi="Arial" w:cs="Arial"/>
                <w:sz w:val="18"/>
                <w:szCs w:val="18"/>
              </w:rPr>
              <w:t>$ vs. YA</w:t>
            </w:r>
          </w:p>
        </w:tc>
        <w:tc>
          <w:tcPr>
            <w:tcW w:w="1043" w:type="dxa"/>
            <w:shd w:val="clear" w:color="auto" w:fill="17365D" w:themeFill="text2" w:themeFillShade="BF"/>
          </w:tcPr>
          <w:p w14:paraId="436C6F1F" w14:textId="77777777" w:rsidR="00396F2A" w:rsidRPr="006777ED" w:rsidRDefault="00396F2A" w:rsidP="00396F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777ED">
              <w:rPr>
                <w:rFonts w:ascii="Arial" w:hAnsi="Arial" w:cs="Arial"/>
                <w:sz w:val="18"/>
                <w:szCs w:val="18"/>
              </w:rPr>
              <w:t>Lbs vs. YA</w:t>
            </w:r>
          </w:p>
        </w:tc>
        <w:tc>
          <w:tcPr>
            <w:tcW w:w="1043" w:type="dxa"/>
            <w:shd w:val="clear" w:color="auto" w:fill="17365D" w:themeFill="text2" w:themeFillShade="BF"/>
          </w:tcPr>
          <w:p w14:paraId="7F5F649A" w14:textId="09BDB516" w:rsidR="00396F2A" w:rsidRPr="006777ED" w:rsidRDefault="00396F2A" w:rsidP="00396F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777ED">
              <w:rPr>
                <w:rFonts w:ascii="Arial" w:hAnsi="Arial" w:cs="Arial"/>
                <w:sz w:val="18"/>
                <w:szCs w:val="18"/>
              </w:rPr>
              <w:t>Dollar</w:t>
            </w:r>
            <w:r>
              <w:rPr>
                <w:rFonts w:ascii="Arial" w:hAnsi="Arial" w:cs="Arial"/>
                <w:sz w:val="18"/>
                <w:szCs w:val="18"/>
              </w:rPr>
              <w:t xml:space="preserve"> sales</w:t>
            </w:r>
          </w:p>
        </w:tc>
        <w:tc>
          <w:tcPr>
            <w:tcW w:w="1043" w:type="dxa"/>
            <w:shd w:val="clear" w:color="auto" w:fill="17365D" w:themeFill="text2" w:themeFillShade="BF"/>
          </w:tcPr>
          <w:p w14:paraId="09A358DE" w14:textId="4DD8CCAE" w:rsidR="00396F2A" w:rsidRPr="006777ED" w:rsidRDefault="00396F2A" w:rsidP="00396F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777ED">
              <w:rPr>
                <w:rFonts w:ascii="Arial" w:hAnsi="Arial" w:cs="Arial"/>
                <w:sz w:val="18"/>
                <w:szCs w:val="18"/>
              </w:rPr>
              <w:t>$ vs. YA</w:t>
            </w:r>
          </w:p>
        </w:tc>
        <w:tc>
          <w:tcPr>
            <w:tcW w:w="1043" w:type="dxa"/>
            <w:shd w:val="clear" w:color="auto" w:fill="17365D" w:themeFill="text2" w:themeFillShade="BF"/>
          </w:tcPr>
          <w:p w14:paraId="5A94E5EF" w14:textId="11311830" w:rsidR="00396F2A" w:rsidRPr="006777ED" w:rsidRDefault="00396F2A" w:rsidP="00396F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777ED">
              <w:rPr>
                <w:rFonts w:ascii="Arial" w:hAnsi="Arial" w:cs="Arial"/>
                <w:sz w:val="18"/>
                <w:szCs w:val="18"/>
              </w:rPr>
              <w:t>Lbs vs. YA</w:t>
            </w:r>
          </w:p>
        </w:tc>
        <w:tc>
          <w:tcPr>
            <w:tcW w:w="1043" w:type="dxa"/>
            <w:shd w:val="clear" w:color="auto" w:fill="17365D" w:themeFill="text2" w:themeFillShade="BF"/>
          </w:tcPr>
          <w:p w14:paraId="50FCA503" w14:textId="49B4B310" w:rsidR="00396F2A" w:rsidRPr="006777ED" w:rsidRDefault="00396F2A" w:rsidP="00396F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777ED">
              <w:rPr>
                <w:rFonts w:ascii="Arial" w:hAnsi="Arial" w:cs="Arial"/>
                <w:sz w:val="18"/>
                <w:szCs w:val="18"/>
              </w:rPr>
              <w:t>Dollar</w:t>
            </w:r>
            <w:r>
              <w:rPr>
                <w:rFonts w:ascii="Arial" w:hAnsi="Arial" w:cs="Arial"/>
                <w:sz w:val="18"/>
                <w:szCs w:val="18"/>
              </w:rPr>
              <w:t xml:space="preserve"> sales</w:t>
            </w:r>
          </w:p>
        </w:tc>
        <w:tc>
          <w:tcPr>
            <w:tcW w:w="1043" w:type="dxa"/>
            <w:shd w:val="clear" w:color="auto" w:fill="17365D" w:themeFill="text2" w:themeFillShade="BF"/>
          </w:tcPr>
          <w:p w14:paraId="07534FC4" w14:textId="34465244" w:rsidR="00396F2A" w:rsidRPr="006777ED" w:rsidRDefault="00396F2A" w:rsidP="00396F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777ED">
              <w:rPr>
                <w:rFonts w:ascii="Arial" w:hAnsi="Arial" w:cs="Arial"/>
                <w:sz w:val="18"/>
                <w:szCs w:val="18"/>
              </w:rPr>
              <w:t>$ vs. YA</w:t>
            </w:r>
          </w:p>
        </w:tc>
        <w:tc>
          <w:tcPr>
            <w:tcW w:w="1043" w:type="dxa"/>
            <w:shd w:val="clear" w:color="auto" w:fill="17365D" w:themeFill="text2" w:themeFillShade="BF"/>
          </w:tcPr>
          <w:p w14:paraId="2227C65B" w14:textId="08CED24C" w:rsidR="00396F2A" w:rsidRPr="006777ED" w:rsidRDefault="00396F2A" w:rsidP="00396F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777ED">
              <w:rPr>
                <w:rFonts w:ascii="Arial" w:hAnsi="Arial" w:cs="Arial"/>
                <w:sz w:val="18"/>
                <w:szCs w:val="18"/>
              </w:rPr>
              <w:t>Lbs vs. YA</w:t>
            </w:r>
          </w:p>
        </w:tc>
      </w:tr>
      <w:tr w:rsidR="00396F2A" w:rsidRPr="00C33171" w14:paraId="0913C032" w14:textId="6AF154B7" w:rsidTr="00464CBE">
        <w:trPr>
          <w:trHeight w:val="147"/>
        </w:trPr>
        <w:tc>
          <w:tcPr>
            <w:cnfStyle w:val="001000000000" w:firstRow="0" w:lastRow="0" w:firstColumn="1" w:lastColumn="0" w:oddVBand="0" w:evenVBand="0" w:oddHBand="0" w:evenHBand="0" w:firstRowFirstColumn="0" w:firstRowLastColumn="0" w:lastRowFirstColumn="0" w:lastRowLastColumn="0"/>
            <w:tcW w:w="1547" w:type="dxa"/>
            <w:vAlign w:val="center"/>
          </w:tcPr>
          <w:p w14:paraId="59C910B1" w14:textId="726200A0" w:rsidR="00396F2A" w:rsidRPr="006777ED" w:rsidRDefault="00193E59" w:rsidP="00396F2A">
            <w:pPr>
              <w:pStyle w:val="NoSpacing"/>
              <w:rPr>
                <w:rFonts w:ascii="Arial" w:hAnsi="Arial" w:cs="Arial"/>
                <w:color w:val="000000"/>
                <w:sz w:val="18"/>
                <w:szCs w:val="18"/>
              </w:rPr>
            </w:pPr>
            <w:r>
              <w:rPr>
                <w:rFonts w:ascii="Arial" w:hAnsi="Arial" w:cs="Arial"/>
                <w:color w:val="000000"/>
                <w:sz w:val="18"/>
                <w:szCs w:val="18"/>
              </w:rPr>
              <w:t>March</w:t>
            </w:r>
            <w:r w:rsidR="00396F2A">
              <w:rPr>
                <w:rFonts w:ascii="Arial" w:hAnsi="Arial" w:cs="Arial"/>
                <w:color w:val="000000"/>
                <w:sz w:val="18"/>
                <w:szCs w:val="18"/>
              </w:rPr>
              <w:t xml:space="preserve"> 2026</w:t>
            </w:r>
          </w:p>
        </w:tc>
        <w:tc>
          <w:tcPr>
            <w:tcW w:w="827" w:type="dxa"/>
            <w:vAlign w:val="center"/>
          </w:tcPr>
          <w:p w14:paraId="11923D68" w14:textId="194E6714" w:rsidR="00396F2A" w:rsidRPr="00C33171" w:rsidRDefault="00396F2A" w:rsidP="00396F2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C33171">
              <w:rPr>
                <w:rFonts w:ascii="Arial" w:hAnsi="Arial" w:cs="Arial"/>
                <w:b/>
                <w:color w:val="000000"/>
                <w:sz w:val="18"/>
                <w:szCs w:val="18"/>
              </w:rPr>
              <w:t>$</w:t>
            </w:r>
            <w:r w:rsidR="003F0051">
              <w:rPr>
                <w:rFonts w:ascii="Arial" w:hAnsi="Arial" w:cs="Arial"/>
                <w:b/>
                <w:color w:val="000000"/>
                <w:sz w:val="18"/>
                <w:szCs w:val="18"/>
              </w:rPr>
              <w:t>8.5</w:t>
            </w:r>
            <w:r w:rsidRPr="00C33171">
              <w:rPr>
                <w:rFonts w:ascii="Arial" w:hAnsi="Arial" w:cs="Arial"/>
                <w:b/>
                <w:color w:val="000000"/>
                <w:sz w:val="18"/>
                <w:szCs w:val="18"/>
              </w:rPr>
              <w:t>B</w:t>
            </w:r>
          </w:p>
        </w:tc>
        <w:tc>
          <w:tcPr>
            <w:tcW w:w="845" w:type="dxa"/>
            <w:vAlign w:val="center"/>
          </w:tcPr>
          <w:p w14:paraId="324A6FDC" w14:textId="5AA42E50" w:rsidR="00396F2A" w:rsidRPr="00C33171" w:rsidRDefault="00396F2A" w:rsidP="00396F2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C33171">
              <w:rPr>
                <w:rFonts w:ascii="Arial" w:hAnsi="Arial" w:cs="Arial"/>
                <w:b/>
                <w:color w:val="000000"/>
                <w:sz w:val="18"/>
                <w:szCs w:val="18"/>
              </w:rPr>
              <w:t>+</w:t>
            </w:r>
            <w:r w:rsidR="003F0051">
              <w:rPr>
                <w:rFonts w:ascii="Arial" w:hAnsi="Arial" w:cs="Arial"/>
                <w:b/>
                <w:color w:val="000000"/>
                <w:sz w:val="18"/>
                <w:szCs w:val="18"/>
              </w:rPr>
              <w:t>5.0</w:t>
            </w:r>
            <w:r w:rsidRPr="00C33171">
              <w:rPr>
                <w:rFonts w:ascii="Arial" w:hAnsi="Arial" w:cs="Arial"/>
                <w:b/>
                <w:color w:val="000000"/>
                <w:sz w:val="18"/>
                <w:szCs w:val="18"/>
              </w:rPr>
              <w:t>%</w:t>
            </w:r>
          </w:p>
        </w:tc>
        <w:tc>
          <w:tcPr>
            <w:tcW w:w="1043" w:type="dxa"/>
            <w:vAlign w:val="center"/>
          </w:tcPr>
          <w:p w14:paraId="6CB223C9" w14:textId="50A772D8" w:rsidR="00396F2A" w:rsidRPr="00C33171" w:rsidRDefault="003F0051" w:rsidP="00396F2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color w:val="000000"/>
                <w:sz w:val="18"/>
                <w:szCs w:val="18"/>
              </w:rPr>
              <w:t>+1.8</w:t>
            </w:r>
            <w:r w:rsidR="00396F2A" w:rsidRPr="00C33171">
              <w:rPr>
                <w:rFonts w:ascii="Arial" w:hAnsi="Arial" w:cs="Arial"/>
                <w:b/>
                <w:color w:val="000000"/>
                <w:sz w:val="18"/>
                <w:szCs w:val="18"/>
              </w:rPr>
              <w:t>%</w:t>
            </w:r>
          </w:p>
        </w:tc>
        <w:tc>
          <w:tcPr>
            <w:tcW w:w="1043" w:type="dxa"/>
            <w:vAlign w:val="center"/>
          </w:tcPr>
          <w:p w14:paraId="1C8474DF" w14:textId="6EBD4ED7" w:rsidR="00396F2A" w:rsidRPr="00C33171" w:rsidRDefault="00396F2A" w:rsidP="00396F2A">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C33171">
              <w:rPr>
                <w:rFonts w:ascii="Arial" w:hAnsi="Arial" w:cs="Arial"/>
                <w:b/>
                <w:color w:val="000000"/>
                <w:sz w:val="18"/>
                <w:szCs w:val="18"/>
              </w:rPr>
              <w:t>$</w:t>
            </w:r>
            <w:r w:rsidR="003F0051">
              <w:rPr>
                <w:rFonts w:ascii="Arial" w:hAnsi="Arial" w:cs="Arial"/>
                <w:b/>
                <w:color w:val="000000"/>
                <w:sz w:val="18"/>
                <w:szCs w:val="18"/>
              </w:rPr>
              <w:t>3.6</w:t>
            </w:r>
            <w:r w:rsidRPr="00C33171">
              <w:rPr>
                <w:rFonts w:ascii="Arial" w:hAnsi="Arial" w:cs="Arial"/>
                <w:b/>
                <w:color w:val="000000"/>
                <w:sz w:val="18"/>
                <w:szCs w:val="18"/>
              </w:rPr>
              <w:t>B</w:t>
            </w:r>
          </w:p>
        </w:tc>
        <w:tc>
          <w:tcPr>
            <w:tcW w:w="1043" w:type="dxa"/>
            <w:vAlign w:val="center"/>
          </w:tcPr>
          <w:p w14:paraId="208450A7" w14:textId="5287DDBF" w:rsidR="00396F2A" w:rsidRPr="00C33171" w:rsidRDefault="00396F2A" w:rsidP="00396F2A">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C33171">
              <w:rPr>
                <w:rFonts w:ascii="Arial" w:hAnsi="Arial" w:cs="Arial"/>
                <w:b/>
                <w:color w:val="000000"/>
                <w:sz w:val="18"/>
                <w:szCs w:val="18"/>
              </w:rPr>
              <w:t>+</w:t>
            </w:r>
            <w:r w:rsidR="003F0051">
              <w:rPr>
                <w:rFonts w:ascii="Arial" w:hAnsi="Arial" w:cs="Arial"/>
                <w:b/>
                <w:color w:val="000000"/>
                <w:sz w:val="18"/>
                <w:szCs w:val="18"/>
              </w:rPr>
              <w:t>8.0</w:t>
            </w:r>
            <w:r w:rsidRPr="00C33171">
              <w:rPr>
                <w:rFonts w:ascii="Arial" w:hAnsi="Arial" w:cs="Arial"/>
                <w:b/>
                <w:color w:val="000000"/>
                <w:sz w:val="18"/>
                <w:szCs w:val="18"/>
              </w:rPr>
              <w:t>%</w:t>
            </w:r>
          </w:p>
        </w:tc>
        <w:tc>
          <w:tcPr>
            <w:tcW w:w="1043" w:type="dxa"/>
            <w:vAlign w:val="center"/>
          </w:tcPr>
          <w:p w14:paraId="0F16CEA5" w14:textId="5EFC86DB" w:rsidR="00396F2A" w:rsidRPr="00C33171" w:rsidRDefault="00396F2A" w:rsidP="00396F2A">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C33171">
              <w:rPr>
                <w:rFonts w:ascii="Arial" w:hAnsi="Arial" w:cs="Arial"/>
                <w:b/>
                <w:color w:val="000000"/>
                <w:sz w:val="18"/>
                <w:szCs w:val="18"/>
              </w:rPr>
              <w:t>+</w:t>
            </w:r>
            <w:r w:rsidR="003F0051">
              <w:rPr>
                <w:rFonts w:ascii="Arial" w:hAnsi="Arial" w:cs="Arial"/>
                <w:b/>
                <w:color w:val="000000"/>
                <w:sz w:val="18"/>
                <w:szCs w:val="18"/>
              </w:rPr>
              <w:t>2.7</w:t>
            </w:r>
            <w:r w:rsidRPr="00C33171">
              <w:rPr>
                <w:rFonts w:ascii="Arial" w:hAnsi="Arial" w:cs="Arial"/>
                <w:b/>
                <w:color w:val="000000"/>
                <w:sz w:val="18"/>
                <w:szCs w:val="18"/>
              </w:rPr>
              <w:t>%</w:t>
            </w:r>
          </w:p>
        </w:tc>
        <w:tc>
          <w:tcPr>
            <w:tcW w:w="1043" w:type="dxa"/>
            <w:vAlign w:val="center"/>
          </w:tcPr>
          <w:p w14:paraId="474BF182" w14:textId="73F0AAD6" w:rsidR="00396F2A" w:rsidRPr="00C33171" w:rsidRDefault="00396F2A" w:rsidP="00396F2A">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C33171">
              <w:rPr>
                <w:rFonts w:ascii="Arial" w:hAnsi="Arial" w:cs="Arial"/>
                <w:b/>
                <w:color w:val="000000"/>
                <w:sz w:val="18"/>
                <w:szCs w:val="18"/>
              </w:rPr>
              <w:t>$</w:t>
            </w:r>
            <w:r w:rsidR="003F0051">
              <w:rPr>
                <w:rFonts w:ascii="Arial" w:hAnsi="Arial" w:cs="Arial"/>
                <w:b/>
                <w:color w:val="000000"/>
                <w:sz w:val="18"/>
                <w:szCs w:val="18"/>
              </w:rPr>
              <w:t>1.6</w:t>
            </w:r>
            <w:r w:rsidRPr="00C33171">
              <w:rPr>
                <w:rFonts w:ascii="Arial" w:hAnsi="Arial" w:cs="Arial"/>
                <w:b/>
                <w:color w:val="000000"/>
                <w:sz w:val="18"/>
                <w:szCs w:val="18"/>
              </w:rPr>
              <w:t>B</w:t>
            </w:r>
          </w:p>
        </w:tc>
        <w:tc>
          <w:tcPr>
            <w:tcW w:w="1043" w:type="dxa"/>
            <w:vAlign w:val="center"/>
          </w:tcPr>
          <w:p w14:paraId="477CD9F9" w14:textId="5F383AF8" w:rsidR="00396F2A" w:rsidRPr="00C33171" w:rsidRDefault="00396F2A" w:rsidP="00396F2A">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C33171">
              <w:rPr>
                <w:rFonts w:ascii="Arial" w:hAnsi="Arial" w:cs="Arial"/>
                <w:b/>
                <w:color w:val="000000"/>
                <w:sz w:val="18"/>
                <w:szCs w:val="18"/>
              </w:rPr>
              <w:t>+</w:t>
            </w:r>
            <w:r w:rsidR="003F0051">
              <w:rPr>
                <w:rFonts w:ascii="Arial" w:hAnsi="Arial" w:cs="Arial"/>
                <w:b/>
                <w:color w:val="000000"/>
                <w:sz w:val="18"/>
                <w:szCs w:val="18"/>
              </w:rPr>
              <w:t>3.3</w:t>
            </w:r>
            <w:r w:rsidRPr="00C33171">
              <w:rPr>
                <w:rFonts w:ascii="Arial" w:hAnsi="Arial" w:cs="Arial"/>
                <w:b/>
                <w:color w:val="000000"/>
                <w:sz w:val="18"/>
                <w:szCs w:val="18"/>
              </w:rPr>
              <w:t>%</w:t>
            </w:r>
          </w:p>
        </w:tc>
        <w:tc>
          <w:tcPr>
            <w:tcW w:w="1043" w:type="dxa"/>
            <w:vAlign w:val="center"/>
          </w:tcPr>
          <w:p w14:paraId="1BC305D1" w14:textId="6D12D49C" w:rsidR="00396F2A" w:rsidRPr="00C33171" w:rsidRDefault="003F0051" w:rsidP="00396F2A">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Pr>
                <w:rFonts w:ascii="Arial" w:hAnsi="Arial" w:cs="Arial"/>
                <w:b/>
                <w:color w:val="000000"/>
                <w:sz w:val="18"/>
                <w:szCs w:val="18"/>
              </w:rPr>
              <w:t>+0.4</w:t>
            </w:r>
            <w:r w:rsidR="00396F2A" w:rsidRPr="00C33171">
              <w:rPr>
                <w:rFonts w:ascii="Arial" w:hAnsi="Arial" w:cs="Arial"/>
                <w:b/>
                <w:color w:val="000000"/>
                <w:sz w:val="18"/>
                <w:szCs w:val="18"/>
              </w:rPr>
              <w:t>%</w:t>
            </w:r>
          </w:p>
        </w:tc>
      </w:tr>
      <w:tr w:rsidR="00193E59" w:rsidRPr="006777ED" w14:paraId="4AF924A6" w14:textId="23C2ED08" w:rsidTr="00193E59">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1547" w:type="dxa"/>
            <w:vAlign w:val="center"/>
          </w:tcPr>
          <w:p w14:paraId="55C10079" w14:textId="0A6F178A" w:rsidR="00193E59" w:rsidRPr="00C33171" w:rsidRDefault="00193E59" w:rsidP="00193E59">
            <w:pPr>
              <w:pStyle w:val="NoSpacing"/>
              <w:rPr>
                <w:rFonts w:ascii="Arial" w:hAnsi="Arial" w:cs="Arial"/>
                <w:b w:val="0"/>
                <w:bCs w:val="0"/>
                <w:color w:val="000000" w:themeColor="text1"/>
                <w:sz w:val="18"/>
                <w:szCs w:val="18"/>
              </w:rPr>
            </w:pPr>
            <w:r>
              <w:rPr>
                <w:rFonts w:ascii="Arial" w:hAnsi="Arial" w:cs="Arial"/>
                <w:b w:val="0"/>
                <w:bCs w:val="0"/>
                <w:color w:val="000000"/>
                <w:sz w:val="18"/>
                <w:szCs w:val="18"/>
              </w:rPr>
              <w:t>w.e. 03-08-26</w:t>
            </w:r>
          </w:p>
        </w:tc>
        <w:tc>
          <w:tcPr>
            <w:tcW w:w="827" w:type="dxa"/>
          </w:tcPr>
          <w:p w14:paraId="683C18A4" w14:textId="6D2A6867" w:rsidR="00193E59" w:rsidRPr="006777ED" w:rsidRDefault="00193E59" w:rsidP="00193E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A7311">
              <w:rPr>
                <w:rFonts w:ascii="Arial" w:hAnsi="Arial" w:cs="Arial"/>
                <w:color w:val="000000"/>
                <w:sz w:val="18"/>
                <w:szCs w:val="18"/>
              </w:rPr>
              <w:t>$</w:t>
            </w:r>
            <w:r w:rsidR="003F0051">
              <w:rPr>
                <w:rFonts w:ascii="Arial" w:hAnsi="Arial" w:cs="Arial"/>
                <w:color w:val="000000"/>
                <w:sz w:val="18"/>
                <w:szCs w:val="18"/>
              </w:rPr>
              <w:t>2.2</w:t>
            </w:r>
            <w:r w:rsidRPr="009A7311">
              <w:rPr>
                <w:rFonts w:ascii="Arial" w:hAnsi="Arial" w:cs="Arial"/>
                <w:color w:val="000000"/>
                <w:sz w:val="18"/>
                <w:szCs w:val="18"/>
              </w:rPr>
              <w:t>B</w:t>
            </w:r>
          </w:p>
        </w:tc>
        <w:tc>
          <w:tcPr>
            <w:tcW w:w="845" w:type="dxa"/>
          </w:tcPr>
          <w:p w14:paraId="648A40FD" w14:textId="13F08859" w:rsidR="00193E59" w:rsidRPr="006777ED" w:rsidRDefault="00193E59" w:rsidP="00193E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0727D6">
              <w:rPr>
                <w:rFonts w:ascii="Arial" w:hAnsi="Arial" w:cs="Arial"/>
                <w:color w:val="000000"/>
                <w:sz w:val="18"/>
                <w:szCs w:val="18"/>
              </w:rPr>
              <w:t>+</w:t>
            </w:r>
            <w:r w:rsidR="003F0051">
              <w:rPr>
                <w:rFonts w:ascii="Arial" w:hAnsi="Arial" w:cs="Arial"/>
                <w:color w:val="000000"/>
                <w:sz w:val="18"/>
                <w:szCs w:val="18"/>
              </w:rPr>
              <w:t>3.6</w:t>
            </w:r>
            <w:r w:rsidRPr="000727D6">
              <w:rPr>
                <w:rFonts w:ascii="Arial" w:hAnsi="Arial" w:cs="Arial"/>
                <w:color w:val="000000"/>
                <w:sz w:val="18"/>
                <w:szCs w:val="18"/>
              </w:rPr>
              <w:t>%</w:t>
            </w:r>
          </w:p>
        </w:tc>
        <w:tc>
          <w:tcPr>
            <w:tcW w:w="1043" w:type="dxa"/>
          </w:tcPr>
          <w:p w14:paraId="26EC1BF4" w14:textId="574AB198" w:rsidR="00193E59" w:rsidRPr="006777ED" w:rsidRDefault="00193E59" w:rsidP="00193E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3E7338">
              <w:rPr>
                <w:rFonts w:ascii="Arial" w:hAnsi="Arial" w:cs="Arial"/>
                <w:color w:val="000000"/>
                <w:sz w:val="18"/>
                <w:szCs w:val="18"/>
              </w:rPr>
              <w:t>-</w:t>
            </w:r>
            <w:r w:rsidR="003F0051">
              <w:rPr>
                <w:rFonts w:ascii="Arial" w:hAnsi="Arial" w:cs="Arial"/>
                <w:color w:val="000000"/>
                <w:sz w:val="18"/>
                <w:szCs w:val="18"/>
              </w:rPr>
              <w:t>1.3</w:t>
            </w:r>
            <w:r w:rsidRPr="003E7338">
              <w:rPr>
                <w:rFonts w:ascii="Arial" w:hAnsi="Arial" w:cs="Arial"/>
                <w:color w:val="000000"/>
                <w:sz w:val="18"/>
                <w:szCs w:val="18"/>
              </w:rPr>
              <w:t>%</w:t>
            </w:r>
          </w:p>
        </w:tc>
        <w:tc>
          <w:tcPr>
            <w:tcW w:w="1043" w:type="dxa"/>
          </w:tcPr>
          <w:p w14:paraId="6512665D" w14:textId="2B08957F" w:rsidR="00193E59" w:rsidRDefault="00193E59" w:rsidP="00193E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433E4">
              <w:rPr>
                <w:rFonts w:ascii="Arial" w:hAnsi="Arial" w:cs="Arial"/>
                <w:color w:val="000000"/>
                <w:sz w:val="18"/>
                <w:szCs w:val="18"/>
              </w:rPr>
              <w:t>$</w:t>
            </w:r>
            <w:r w:rsidR="003F0051">
              <w:rPr>
                <w:rFonts w:ascii="Arial" w:hAnsi="Arial" w:cs="Arial"/>
                <w:color w:val="000000"/>
                <w:sz w:val="18"/>
                <w:szCs w:val="18"/>
              </w:rPr>
              <w:t>930</w:t>
            </w:r>
            <w:r w:rsidRPr="006433E4">
              <w:rPr>
                <w:rFonts w:ascii="Arial" w:hAnsi="Arial" w:cs="Arial"/>
                <w:color w:val="000000"/>
                <w:sz w:val="18"/>
                <w:szCs w:val="18"/>
              </w:rPr>
              <w:t>M</w:t>
            </w:r>
          </w:p>
        </w:tc>
        <w:tc>
          <w:tcPr>
            <w:tcW w:w="1043" w:type="dxa"/>
          </w:tcPr>
          <w:p w14:paraId="0DEDE291" w14:textId="34C6497A" w:rsidR="00193E59" w:rsidRDefault="00193E59" w:rsidP="00193E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F7AEA">
              <w:rPr>
                <w:rFonts w:ascii="Arial" w:hAnsi="Arial" w:cs="Arial"/>
                <w:color w:val="000000"/>
                <w:sz w:val="18"/>
                <w:szCs w:val="18"/>
              </w:rPr>
              <w:t>+</w:t>
            </w:r>
            <w:r w:rsidR="003F0051">
              <w:rPr>
                <w:rFonts w:ascii="Arial" w:hAnsi="Arial" w:cs="Arial"/>
                <w:color w:val="000000"/>
                <w:sz w:val="18"/>
                <w:szCs w:val="18"/>
              </w:rPr>
              <w:t>6.9</w:t>
            </w:r>
            <w:r w:rsidRPr="000F7AEA">
              <w:rPr>
                <w:rFonts w:ascii="Arial" w:hAnsi="Arial" w:cs="Arial"/>
                <w:color w:val="000000"/>
                <w:sz w:val="18"/>
                <w:szCs w:val="18"/>
              </w:rPr>
              <w:t>%</w:t>
            </w:r>
          </w:p>
        </w:tc>
        <w:tc>
          <w:tcPr>
            <w:tcW w:w="1043" w:type="dxa"/>
          </w:tcPr>
          <w:p w14:paraId="7A1993E9" w14:textId="7D926D99" w:rsidR="00193E59" w:rsidRDefault="00193E59" w:rsidP="00193E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F7AEA">
              <w:rPr>
                <w:rFonts w:ascii="Arial" w:hAnsi="Arial" w:cs="Arial"/>
                <w:color w:val="000000"/>
                <w:sz w:val="18"/>
                <w:szCs w:val="18"/>
              </w:rPr>
              <w:t>+</w:t>
            </w:r>
            <w:r w:rsidR="003F0051">
              <w:rPr>
                <w:rFonts w:ascii="Arial" w:hAnsi="Arial" w:cs="Arial"/>
                <w:color w:val="000000"/>
                <w:sz w:val="18"/>
                <w:szCs w:val="18"/>
              </w:rPr>
              <w:t>0.9</w:t>
            </w:r>
            <w:r w:rsidRPr="000F7AEA">
              <w:rPr>
                <w:rFonts w:ascii="Arial" w:hAnsi="Arial" w:cs="Arial"/>
                <w:color w:val="000000"/>
                <w:sz w:val="18"/>
                <w:szCs w:val="18"/>
              </w:rPr>
              <w:t>%</w:t>
            </w:r>
          </w:p>
        </w:tc>
        <w:tc>
          <w:tcPr>
            <w:tcW w:w="1043" w:type="dxa"/>
          </w:tcPr>
          <w:p w14:paraId="080C180A" w14:textId="14C67449" w:rsidR="00193E59" w:rsidRDefault="00193E59" w:rsidP="00193E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B17D35">
              <w:rPr>
                <w:rFonts w:ascii="Arial" w:hAnsi="Arial" w:cs="Arial"/>
                <w:color w:val="000000"/>
                <w:sz w:val="18"/>
                <w:szCs w:val="18"/>
              </w:rPr>
              <w:t>$</w:t>
            </w:r>
            <w:r w:rsidR="003F0051">
              <w:rPr>
                <w:rFonts w:ascii="Arial" w:hAnsi="Arial" w:cs="Arial"/>
                <w:color w:val="000000"/>
                <w:sz w:val="18"/>
                <w:szCs w:val="18"/>
              </w:rPr>
              <w:t>414</w:t>
            </w:r>
            <w:r w:rsidRPr="00B17D35">
              <w:rPr>
                <w:rFonts w:ascii="Arial" w:hAnsi="Arial" w:cs="Arial"/>
                <w:color w:val="000000"/>
                <w:sz w:val="18"/>
                <w:szCs w:val="18"/>
              </w:rPr>
              <w:t>M</w:t>
            </w:r>
          </w:p>
        </w:tc>
        <w:tc>
          <w:tcPr>
            <w:tcW w:w="1043" w:type="dxa"/>
          </w:tcPr>
          <w:p w14:paraId="5302D9B9" w14:textId="2BC2D2AF" w:rsidR="00193E59" w:rsidRDefault="003F0051" w:rsidP="00193E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+2.8</w:t>
            </w:r>
            <w:r w:rsidR="00193E59" w:rsidRPr="00EA2DA7">
              <w:rPr>
                <w:rFonts w:ascii="Arial" w:hAnsi="Arial" w:cs="Arial"/>
                <w:color w:val="000000"/>
                <w:sz w:val="18"/>
                <w:szCs w:val="18"/>
              </w:rPr>
              <w:t>%</w:t>
            </w:r>
          </w:p>
        </w:tc>
        <w:tc>
          <w:tcPr>
            <w:tcW w:w="1043" w:type="dxa"/>
          </w:tcPr>
          <w:p w14:paraId="2F6780D9" w14:textId="78EB5929" w:rsidR="00193E59" w:rsidRDefault="00193E59" w:rsidP="00193E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C723A5">
              <w:rPr>
                <w:rFonts w:ascii="Arial" w:hAnsi="Arial" w:cs="Arial"/>
                <w:color w:val="000000"/>
                <w:sz w:val="18"/>
                <w:szCs w:val="18"/>
              </w:rPr>
              <w:t>-</w:t>
            </w:r>
            <w:r w:rsidR="003F0051">
              <w:rPr>
                <w:rFonts w:ascii="Arial" w:hAnsi="Arial" w:cs="Arial"/>
                <w:color w:val="000000"/>
                <w:sz w:val="18"/>
                <w:szCs w:val="18"/>
              </w:rPr>
              <w:t>0.3</w:t>
            </w:r>
            <w:r w:rsidRPr="00C723A5">
              <w:rPr>
                <w:rFonts w:ascii="Arial" w:hAnsi="Arial" w:cs="Arial"/>
                <w:color w:val="000000"/>
                <w:sz w:val="18"/>
                <w:szCs w:val="18"/>
              </w:rPr>
              <w:t>%</w:t>
            </w:r>
          </w:p>
        </w:tc>
      </w:tr>
      <w:tr w:rsidR="00193E59" w:rsidRPr="006777ED" w14:paraId="79D9D7E2" w14:textId="30C6DB3A" w:rsidTr="00193E59">
        <w:trPr>
          <w:trHeight w:val="147"/>
        </w:trPr>
        <w:tc>
          <w:tcPr>
            <w:cnfStyle w:val="001000000000" w:firstRow="0" w:lastRow="0" w:firstColumn="1" w:lastColumn="0" w:oddVBand="0" w:evenVBand="0" w:oddHBand="0" w:evenHBand="0" w:firstRowFirstColumn="0" w:firstRowLastColumn="0" w:lastRowFirstColumn="0" w:lastRowLastColumn="0"/>
            <w:tcW w:w="1547" w:type="dxa"/>
            <w:vAlign w:val="center"/>
          </w:tcPr>
          <w:p w14:paraId="52FFD94F" w14:textId="35DDD9CA" w:rsidR="00193E59" w:rsidRPr="00C33171" w:rsidRDefault="00193E59" w:rsidP="00193E59">
            <w:pPr>
              <w:pStyle w:val="NoSpacing"/>
              <w:rPr>
                <w:rFonts w:ascii="Arial" w:hAnsi="Arial" w:cs="Arial"/>
                <w:b w:val="0"/>
                <w:bCs w:val="0"/>
                <w:color w:val="000000"/>
                <w:sz w:val="18"/>
                <w:szCs w:val="18"/>
              </w:rPr>
            </w:pPr>
            <w:r>
              <w:rPr>
                <w:rFonts w:ascii="Arial" w:hAnsi="Arial" w:cs="Arial"/>
                <w:b w:val="0"/>
                <w:bCs w:val="0"/>
                <w:color w:val="000000"/>
                <w:sz w:val="18"/>
                <w:szCs w:val="18"/>
              </w:rPr>
              <w:t>w.e. 03-15-26</w:t>
            </w:r>
          </w:p>
        </w:tc>
        <w:tc>
          <w:tcPr>
            <w:tcW w:w="827" w:type="dxa"/>
          </w:tcPr>
          <w:p w14:paraId="3C407FD8" w14:textId="5835868E" w:rsidR="00193E59" w:rsidRPr="006777ED" w:rsidRDefault="00193E59" w:rsidP="00193E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A7311">
              <w:rPr>
                <w:rFonts w:ascii="Arial" w:hAnsi="Arial" w:cs="Arial"/>
                <w:color w:val="000000"/>
                <w:sz w:val="18"/>
                <w:szCs w:val="18"/>
              </w:rPr>
              <w:t>$</w:t>
            </w:r>
            <w:r w:rsidR="003F0051">
              <w:rPr>
                <w:rFonts w:ascii="Arial" w:hAnsi="Arial" w:cs="Arial"/>
                <w:color w:val="000000"/>
                <w:sz w:val="18"/>
                <w:szCs w:val="18"/>
              </w:rPr>
              <w:t>2.2</w:t>
            </w:r>
            <w:r w:rsidRPr="009A7311">
              <w:rPr>
                <w:rFonts w:ascii="Arial" w:hAnsi="Arial" w:cs="Arial"/>
                <w:color w:val="000000"/>
                <w:sz w:val="18"/>
                <w:szCs w:val="18"/>
              </w:rPr>
              <w:t>B</w:t>
            </w:r>
          </w:p>
        </w:tc>
        <w:tc>
          <w:tcPr>
            <w:tcW w:w="845" w:type="dxa"/>
          </w:tcPr>
          <w:p w14:paraId="11755AA3" w14:textId="6DB9E1D1" w:rsidR="00193E59" w:rsidRPr="006777ED" w:rsidRDefault="00193E59" w:rsidP="00193E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727D6">
              <w:rPr>
                <w:rFonts w:ascii="Arial" w:hAnsi="Arial" w:cs="Arial"/>
                <w:color w:val="000000"/>
                <w:sz w:val="18"/>
                <w:szCs w:val="18"/>
              </w:rPr>
              <w:t>+</w:t>
            </w:r>
            <w:r w:rsidR="003F0051">
              <w:rPr>
                <w:rFonts w:ascii="Arial" w:hAnsi="Arial" w:cs="Arial"/>
                <w:color w:val="000000"/>
                <w:sz w:val="18"/>
                <w:szCs w:val="18"/>
              </w:rPr>
              <w:t>5.3</w:t>
            </w:r>
            <w:r w:rsidRPr="000727D6">
              <w:rPr>
                <w:rFonts w:ascii="Arial" w:hAnsi="Arial" w:cs="Arial"/>
                <w:color w:val="000000"/>
                <w:sz w:val="18"/>
                <w:szCs w:val="18"/>
              </w:rPr>
              <w:t>%</w:t>
            </w:r>
          </w:p>
        </w:tc>
        <w:tc>
          <w:tcPr>
            <w:tcW w:w="1043" w:type="dxa"/>
          </w:tcPr>
          <w:p w14:paraId="5E22D889" w14:textId="4864A44A" w:rsidR="00193E59" w:rsidRPr="006777ED" w:rsidRDefault="003F0051" w:rsidP="00193E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+1.6</w:t>
            </w:r>
            <w:r w:rsidR="00193E59" w:rsidRPr="003E7338">
              <w:rPr>
                <w:rFonts w:ascii="Arial" w:hAnsi="Arial" w:cs="Arial"/>
                <w:color w:val="000000"/>
                <w:sz w:val="18"/>
                <w:szCs w:val="18"/>
              </w:rPr>
              <w:t>%</w:t>
            </w:r>
          </w:p>
        </w:tc>
        <w:tc>
          <w:tcPr>
            <w:tcW w:w="1043" w:type="dxa"/>
          </w:tcPr>
          <w:p w14:paraId="06AD2F68" w14:textId="40F7203D" w:rsidR="00193E59" w:rsidRPr="006777ED" w:rsidRDefault="00193E59" w:rsidP="00193E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433E4">
              <w:rPr>
                <w:rFonts w:ascii="Arial" w:hAnsi="Arial" w:cs="Arial"/>
                <w:color w:val="000000"/>
                <w:sz w:val="18"/>
                <w:szCs w:val="18"/>
              </w:rPr>
              <w:t>$</w:t>
            </w:r>
            <w:r w:rsidR="003F0051">
              <w:rPr>
                <w:rFonts w:ascii="Arial" w:hAnsi="Arial" w:cs="Arial"/>
                <w:color w:val="000000"/>
                <w:sz w:val="18"/>
                <w:szCs w:val="18"/>
              </w:rPr>
              <w:t>992</w:t>
            </w:r>
            <w:r w:rsidRPr="006433E4">
              <w:rPr>
                <w:rFonts w:ascii="Arial" w:hAnsi="Arial" w:cs="Arial"/>
                <w:color w:val="000000"/>
                <w:sz w:val="18"/>
                <w:szCs w:val="18"/>
              </w:rPr>
              <w:t>M</w:t>
            </w:r>
          </w:p>
        </w:tc>
        <w:tc>
          <w:tcPr>
            <w:tcW w:w="1043" w:type="dxa"/>
          </w:tcPr>
          <w:p w14:paraId="3D006C11" w14:textId="6FD90B51" w:rsidR="00193E59" w:rsidRPr="006777ED" w:rsidRDefault="00193E59" w:rsidP="00193E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F7AEA">
              <w:rPr>
                <w:rFonts w:ascii="Arial" w:hAnsi="Arial" w:cs="Arial"/>
                <w:color w:val="000000"/>
                <w:sz w:val="18"/>
                <w:szCs w:val="18"/>
              </w:rPr>
              <w:t>+</w:t>
            </w:r>
            <w:r w:rsidR="003F0051">
              <w:rPr>
                <w:rFonts w:ascii="Arial" w:hAnsi="Arial" w:cs="Arial"/>
                <w:color w:val="000000"/>
                <w:sz w:val="18"/>
                <w:szCs w:val="18"/>
              </w:rPr>
              <w:t>8.5</w:t>
            </w:r>
            <w:r w:rsidRPr="000F7AEA">
              <w:rPr>
                <w:rFonts w:ascii="Arial" w:hAnsi="Arial" w:cs="Arial"/>
                <w:color w:val="000000"/>
                <w:sz w:val="18"/>
                <w:szCs w:val="18"/>
              </w:rPr>
              <w:t>%</w:t>
            </w:r>
          </w:p>
        </w:tc>
        <w:tc>
          <w:tcPr>
            <w:tcW w:w="1043" w:type="dxa"/>
          </w:tcPr>
          <w:p w14:paraId="543EA65C" w14:textId="70BE70D6" w:rsidR="00193E59" w:rsidRPr="006777ED" w:rsidRDefault="00193E59" w:rsidP="00193E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F7AEA">
              <w:rPr>
                <w:rFonts w:ascii="Arial" w:hAnsi="Arial" w:cs="Arial"/>
                <w:color w:val="000000"/>
                <w:sz w:val="18"/>
                <w:szCs w:val="18"/>
              </w:rPr>
              <w:t>+</w:t>
            </w:r>
            <w:r w:rsidR="003F0051">
              <w:rPr>
                <w:rFonts w:ascii="Arial" w:hAnsi="Arial" w:cs="Arial"/>
                <w:color w:val="000000"/>
                <w:sz w:val="18"/>
                <w:szCs w:val="18"/>
              </w:rPr>
              <w:t>3.8</w:t>
            </w:r>
            <w:r w:rsidRPr="000F7AEA">
              <w:rPr>
                <w:rFonts w:ascii="Arial" w:hAnsi="Arial" w:cs="Arial"/>
                <w:color w:val="000000"/>
                <w:sz w:val="18"/>
                <w:szCs w:val="18"/>
              </w:rPr>
              <w:t>%</w:t>
            </w:r>
          </w:p>
        </w:tc>
        <w:tc>
          <w:tcPr>
            <w:tcW w:w="1043" w:type="dxa"/>
          </w:tcPr>
          <w:p w14:paraId="57D5041B" w14:textId="76FC8B7F" w:rsidR="00193E59" w:rsidRPr="006777ED" w:rsidRDefault="00193E59" w:rsidP="00193E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17D35">
              <w:rPr>
                <w:rFonts w:ascii="Arial" w:hAnsi="Arial" w:cs="Arial"/>
                <w:color w:val="000000"/>
                <w:sz w:val="18"/>
                <w:szCs w:val="18"/>
              </w:rPr>
              <w:t>$</w:t>
            </w:r>
            <w:r w:rsidR="003F0051">
              <w:rPr>
                <w:rFonts w:ascii="Arial" w:hAnsi="Arial" w:cs="Arial"/>
                <w:color w:val="000000"/>
                <w:sz w:val="18"/>
                <w:szCs w:val="18"/>
              </w:rPr>
              <w:t>401</w:t>
            </w:r>
            <w:r w:rsidRPr="00B17D35">
              <w:rPr>
                <w:rFonts w:ascii="Arial" w:hAnsi="Arial" w:cs="Arial"/>
                <w:color w:val="000000"/>
                <w:sz w:val="18"/>
                <w:szCs w:val="18"/>
              </w:rPr>
              <w:t>M</w:t>
            </w:r>
          </w:p>
        </w:tc>
        <w:tc>
          <w:tcPr>
            <w:tcW w:w="1043" w:type="dxa"/>
          </w:tcPr>
          <w:p w14:paraId="220B56F4" w14:textId="06B734DE" w:rsidR="00193E59" w:rsidRPr="006777ED" w:rsidRDefault="00193E59" w:rsidP="00193E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47462">
              <w:rPr>
                <w:rFonts w:ascii="Arial" w:hAnsi="Arial" w:cs="Arial"/>
                <w:color w:val="000000"/>
                <w:sz w:val="18"/>
                <w:szCs w:val="18"/>
              </w:rPr>
              <w:t>+</w:t>
            </w:r>
            <w:r w:rsidR="003F0051">
              <w:rPr>
                <w:rFonts w:ascii="Arial" w:hAnsi="Arial" w:cs="Arial"/>
                <w:color w:val="000000"/>
                <w:sz w:val="18"/>
                <w:szCs w:val="18"/>
              </w:rPr>
              <w:t>3.9</w:t>
            </w:r>
            <w:r w:rsidRPr="00F47462">
              <w:rPr>
                <w:rFonts w:ascii="Arial" w:hAnsi="Arial" w:cs="Arial"/>
                <w:color w:val="000000"/>
                <w:sz w:val="18"/>
                <w:szCs w:val="18"/>
              </w:rPr>
              <w:t>%</w:t>
            </w:r>
          </w:p>
        </w:tc>
        <w:tc>
          <w:tcPr>
            <w:tcW w:w="1043" w:type="dxa"/>
          </w:tcPr>
          <w:p w14:paraId="28138BA2" w14:textId="1F787B8F" w:rsidR="00193E59" w:rsidRPr="006777ED" w:rsidRDefault="003F0051" w:rsidP="00193E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w:t>
            </w:r>
            <w:r w:rsidR="00193E59" w:rsidRPr="00C723A5">
              <w:rPr>
                <w:rFonts w:ascii="Arial" w:hAnsi="Arial" w:cs="Arial"/>
                <w:color w:val="000000"/>
                <w:sz w:val="18"/>
                <w:szCs w:val="18"/>
              </w:rPr>
              <w:t>%</w:t>
            </w:r>
          </w:p>
        </w:tc>
      </w:tr>
      <w:tr w:rsidR="00193E59" w:rsidRPr="006777ED" w14:paraId="2DFD47C8" w14:textId="10E09A26" w:rsidTr="00193E59">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1547" w:type="dxa"/>
            <w:vAlign w:val="center"/>
          </w:tcPr>
          <w:p w14:paraId="353BEA52" w14:textId="4D03E9AE" w:rsidR="00193E59" w:rsidRPr="00C33171" w:rsidRDefault="00193E59" w:rsidP="00193E59">
            <w:pPr>
              <w:pStyle w:val="NoSpacing"/>
              <w:rPr>
                <w:rFonts w:ascii="Arial" w:hAnsi="Arial" w:cs="Arial"/>
                <w:b w:val="0"/>
                <w:bCs w:val="0"/>
                <w:color w:val="000000" w:themeColor="text1"/>
                <w:sz w:val="18"/>
                <w:szCs w:val="18"/>
              </w:rPr>
            </w:pPr>
            <w:r>
              <w:rPr>
                <w:rFonts w:ascii="Arial" w:hAnsi="Arial" w:cs="Arial"/>
                <w:b w:val="0"/>
                <w:bCs w:val="0"/>
                <w:color w:val="000000"/>
                <w:sz w:val="18"/>
                <w:szCs w:val="18"/>
              </w:rPr>
              <w:t>w.e. 03-22-26</w:t>
            </w:r>
          </w:p>
        </w:tc>
        <w:tc>
          <w:tcPr>
            <w:tcW w:w="827" w:type="dxa"/>
          </w:tcPr>
          <w:p w14:paraId="569910F2" w14:textId="33877500" w:rsidR="00193E59" w:rsidRPr="006777ED" w:rsidRDefault="00193E59" w:rsidP="00193E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A7311">
              <w:rPr>
                <w:rFonts w:ascii="Arial" w:hAnsi="Arial" w:cs="Arial"/>
                <w:color w:val="000000"/>
                <w:sz w:val="18"/>
                <w:szCs w:val="18"/>
              </w:rPr>
              <w:t>$</w:t>
            </w:r>
            <w:r w:rsidR="003F0051">
              <w:rPr>
                <w:rFonts w:ascii="Arial" w:hAnsi="Arial" w:cs="Arial"/>
                <w:color w:val="000000"/>
                <w:sz w:val="18"/>
                <w:szCs w:val="18"/>
              </w:rPr>
              <w:t>2.1</w:t>
            </w:r>
            <w:r w:rsidRPr="009A7311">
              <w:rPr>
                <w:rFonts w:ascii="Arial" w:hAnsi="Arial" w:cs="Arial"/>
                <w:color w:val="000000"/>
                <w:sz w:val="18"/>
                <w:szCs w:val="18"/>
              </w:rPr>
              <w:t>B</w:t>
            </w:r>
          </w:p>
        </w:tc>
        <w:tc>
          <w:tcPr>
            <w:tcW w:w="845" w:type="dxa"/>
          </w:tcPr>
          <w:p w14:paraId="492C06DB" w14:textId="0F9B15B8" w:rsidR="00193E59" w:rsidRPr="006777ED" w:rsidRDefault="00193E59" w:rsidP="00193E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0727D6">
              <w:rPr>
                <w:rFonts w:ascii="Arial" w:hAnsi="Arial" w:cs="Arial"/>
                <w:color w:val="000000"/>
                <w:sz w:val="18"/>
                <w:szCs w:val="18"/>
              </w:rPr>
              <w:t>+</w:t>
            </w:r>
            <w:r w:rsidR="003F0051">
              <w:rPr>
                <w:rFonts w:ascii="Arial" w:hAnsi="Arial" w:cs="Arial"/>
                <w:color w:val="000000"/>
                <w:sz w:val="18"/>
                <w:szCs w:val="18"/>
              </w:rPr>
              <w:t>5.4</w:t>
            </w:r>
            <w:r w:rsidRPr="000727D6">
              <w:rPr>
                <w:rFonts w:ascii="Arial" w:hAnsi="Arial" w:cs="Arial"/>
                <w:color w:val="000000"/>
                <w:sz w:val="18"/>
                <w:szCs w:val="18"/>
              </w:rPr>
              <w:t>%</w:t>
            </w:r>
          </w:p>
        </w:tc>
        <w:tc>
          <w:tcPr>
            <w:tcW w:w="1043" w:type="dxa"/>
          </w:tcPr>
          <w:p w14:paraId="390FCB76" w14:textId="6A4C4C7D" w:rsidR="00193E59" w:rsidRPr="006777ED" w:rsidRDefault="003F0051" w:rsidP="00193E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+2.7</w:t>
            </w:r>
            <w:r w:rsidR="00193E59" w:rsidRPr="003E7338">
              <w:rPr>
                <w:rFonts w:ascii="Arial" w:hAnsi="Arial" w:cs="Arial"/>
                <w:color w:val="000000"/>
                <w:sz w:val="18"/>
                <w:szCs w:val="18"/>
              </w:rPr>
              <w:t>%</w:t>
            </w:r>
          </w:p>
        </w:tc>
        <w:tc>
          <w:tcPr>
            <w:tcW w:w="1043" w:type="dxa"/>
          </w:tcPr>
          <w:p w14:paraId="298EB3AD" w14:textId="6F0B70FF" w:rsidR="00193E59" w:rsidRDefault="00193E59" w:rsidP="00193E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433E4">
              <w:rPr>
                <w:rFonts w:ascii="Arial" w:hAnsi="Arial" w:cs="Arial"/>
                <w:color w:val="000000"/>
                <w:sz w:val="18"/>
                <w:szCs w:val="18"/>
              </w:rPr>
              <w:t>$</w:t>
            </w:r>
            <w:r w:rsidR="003F0051">
              <w:rPr>
                <w:rFonts w:ascii="Arial" w:hAnsi="Arial" w:cs="Arial"/>
                <w:color w:val="000000"/>
                <w:sz w:val="18"/>
                <w:szCs w:val="18"/>
              </w:rPr>
              <w:t>891</w:t>
            </w:r>
            <w:r w:rsidRPr="006433E4">
              <w:rPr>
                <w:rFonts w:ascii="Arial" w:hAnsi="Arial" w:cs="Arial"/>
                <w:color w:val="000000"/>
                <w:sz w:val="18"/>
                <w:szCs w:val="18"/>
              </w:rPr>
              <w:t>M</w:t>
            </w:r>
          </w:p>
        </w:tc>
        <w:tc>
          <w:tcPr>
            <w:tcW w:w="1043" w:type="dxa"/>
          </w:tcPr>
          <w:p w14:paraId="628FB170" w14:textId="38FB9882" w:rsidR="00193E59" w:rsidRDefault="00193E59" w:rsidP="00193E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F7AEA">
              <w:rPr>
                <w:rFonts w:ascii="Arial" w:hAnsi="Arial" w:cs="Arial"/>
                <w:color w:val="000000"/>
                <w:sz w:val="18"/>
                <w:szCs w:val="18"/>
              </w:rPr>
              <w:t>+</w:t>
            </w:r>
            <w:r w:rsidR="003F0051">
              <w:rPr>
                <w:rFonts w:ascii="Arial" w:hAnsi="Arial" w:cs="Arial"/>
                <w:color w:val="000000"/>
                <w:sz w:val="18"/>
                <w:szCs w:val="18"/>
              </w:rPr>
              <w:t>9.4</w:t>
            </w:r>
            <w:r w:rsidRPr="000F7AEA">
              <w:rPr>
                <w:rFonts w:ascii="Arial" w:hAnsi="Arial" w:cs="Arial"/>
                <w:color w:val="000000"/>
                <w:sz w:val="18"/>
                <w:szCs w:val="18"/>
              </w:rPr>
              <w:t>%</w:t>
            </w:r>
          </w:p>
        </w:tc>
        <w:tc>
          <w:tcPr>
            <w:tcW w:w="1043" w:type="dxa"/>
          </w:tcPr>
          <w:p w14:paraId="3D97125E" w14:textId="6EE3B7CB" w:rsidR="00193E59" w:rsidRDefault="00193E59" w:rsidP="00193E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F7AEA">
              <w:rPr>
                <w:rFonts w:ascii="Arial" w:hAnsi="Arial" w:cs="Arial"/>
                <w:color w:val="000000"/>
                <w:sz w:val="18"/>
                <w:szCs w:val="18"/>
              </w:rPr>
              <w:t>+</w:t>
            </w:r>
            <w:r w:rsidR="003F0051">
              <w:rPr>
                <w:rFonts w:ascii="Arial" w:hAnsi="Arial" w:cs="Arial"/>
                <w:color w:val="000000"/>
                <w:sz w:val="18"/>
                <w:szCs w:val="18"/>
              </w:rPr>
              <w:t>5.3</w:t>
            </w:r>
            <w:r w:rsidRPr="000F7AEA">
              <w:rPr>
                <w:rFonts w:ascii="Arial" w:hAnsi="Arial" w:cs="Arial"/>
                <w:color w:val="000000"/>
                <w:sz w:val="18"/>
                <w:szCs w:val="18"/>
              </w:rPr>
              <w:t>%</w:t>
            </w:r>
          </w:p>
        </w:tc>
        <w:tc>
          <w:tcPr>
            <w:tcW w:w="1043" w:type="dxa"/>
          </w:tcPr>
          <w:p w14:paraId="1386648C" w14:textId="7A202928" w:rsidR="00193E59" w:rsidRDefault="00193E59" w:rsidP="00193E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B17D35">
              <w:rPr>
                <w:rFonts w:ascii="Arial" w:hAnsi="Arial" w:cs="Arial"/>
                <w:color w:val="000000"/>
                <w:sz w:val="18"/>
                <w:szCs w:val="18"/>
              </w:rPr>
              <w:t>$</w:t>
            </w:r>
            <w:r w:rsidR="003F0051">
              <w:rPr>
                <w:rFonts w:ascii="Arial" w:hAnsi="Arial" w:cs="Arial"/>
                <w:color w:val="000000"/>
                <w:sz w:val="18"/>
                <w:szCs w:val="18"/>
              </w:rPr>
              <w:t>393</w:t>
            </w:r>
            <w:r w:rsidRPr="00B17D35">
              <w:rPr>
                <w:rFonts w:ascii="Arial" w:hAnsi="Arial" w:cs="Arial"/>
                <w:color w:val="000000"/>
                <w:sz w:val="18"/>
                <w:szCs w:val="18"/>
              </w:rPr>
              <w:t>M</w:t>
            </w:r>
          </w:p>
        </w:tc>
        <w:tc>
          <w:tcPr>
            <w:tcW w:w="1043" w:type="dxa"/>
          </w:tcPr>
          <w:p w14:paraId="25CBFFF0" w14:textId="680C1462" w:rsidR="00193E59" w:rsidRDefault="00193E59" w:rsidP="00193E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47462">
              <w:rPr>
                <w:rFonts w:ascii="Arial" w:hAnsi="Arial" w:cs="Arial"/>
                <w:color w:val="000000"/>
                <w:sz w:val="18"/>
                <w:szCs w:val="18"/>
              </w:rPr>
              <w:t>+</w:t>
            </w:r>
            <w:r w:rsidR="003F0051">
              <w:rPr>
                <w:rFonts w:ascii="Arial" w:hAnsi="Arial" w:cs="Arial"/>
                <w:color w:val="000000"/>
                <w:sz w:val="18"/>
                <w:szCs w:val="18"/>
              </w:rPr>
              <w:t>4.2</w:t>
            </w:r>
            <w:r w:rsidRPr="00F47462">
              <w:rPr>
                <w:rFonts w:ascii="Arial" w:hAnsi="Arial" w:cs="Arial"/>
                <w:color w:val="000000"/>
                <w:sz w:val="18"/>
                <w:szCs w:val="18"/>
              </w:rPr>
              <w:t>%</w:t>
            </w:r>
          </w:p>
        </w:tc>
        <w:tc>
          <w:tcPr>
            <w:tcW w:w="1043" w:type="dxa"/>
          </w:tcPr>
          <w:p w14:paraId="1E26730E" w14:textId="661E1E94" w:rsidR="00193E59" w:rsidRDefault="003F0051" w:rsidP="00193E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+1.5</w:t>
            </w:r>
            <w:r w:rsidR="00193E59" w:rsidRPr="00C723A5">
              <w:rPr>
                <w:rFonts w:ascii="Arial" w:hAnsi="Arial" w:cs="Arial"/>
                <w:color w:val="000000"/>
                <w:sz w:val="18"/>
                <w:szCs w:val="18"/>
              </w:rPr>
              <w:t>%</w:t>
            </w:r>
          </w:p>
        </w:tc>
      </w:tr>
      <w:tr w:rsidR="00193E59" w:rsidRPr="006777ED" w14:paraId="6BEC867A" w14:textId="4418A3E5" w:rsidTr="00193E59">
        <w:trPr>
          <w:trHeight w:val="147"/>
        </w:trPr>
        <w:tc>
          <w:tcPr>
            <w:cnfStyle w:val="001000000000" w:firstRow="0" w:lastRow="0" w:firstColumn="1" w:lastColumn="0" w:oddVBand="0" w:evenVBand="0" w:oddHBand="0" w:evenHBand="0" w:firstRowFirstColumn="0" w:firstRowLastColumn="0" w:lastRowFirstColumn="0" w:lastRowLastColumn="0"/>
            <w:tcW w:w="1547" w:type="dxa"/>
            <w:vAlign w:val="center"/>
          </w:tcPr>
          <w:p w14:paraId="68B79C4B" w14:textId="16FB5979" w:rsidR="00193E59" w:rsidRPr="00C33171" w:rsidRDefault="00193E59" w:rsidP="00193E59">
            <w:pPr>
              <w:pStyle w:val="NoSpacing"/>
              <w:rPr>
                <w:rFonts w:ascii="Arial" w:hAnsi="Arial" w:cs="Arial"/>
                <w:b w:val="0"/>
                <w:bCs w:val="0"/>
                <w:color w:val="000000" w:themeColor="text1"/>
                <w:sz w:val="18"/>
                <w:szCs w:val="18"/>
              </w:rPr>
            </w:pPr>
            <w:r>
              <w:rPr>
                <w:rFonts w:ascii="Arial" w:hAnsi="Arial" w:cs="Arial"/>
                <w:b w:val="0"/>
                <w:bCs w:val="0"/>
                <w:color w:val="000000"/>
                <w:sz w:val="18"/>
                <w:szCs w:val="18"/>
              </w:rPr>
              <w:t>w.e. 03-29-26</w:t>
            </w:r>
          </w:p>
        </w:tc>
        <w:tc>
          <w:tcPr>
            <w:tcW w:w="827" w:type="dxa"/>
          </w:tcPr>
          <w:p w14:paraId="66F3E4E0" w14:textId="33ED025D" w:rsidR="00193E59" w:rsidRPr="006777ED" w:rsidRDefault="00193E59" w:rsidP="00193E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A7311">
              <w:rPr>
                <w:rFonts w:ascii="Arial" w:hAnsi="Arial" w:cs="Arial"/>
                <w:color w:val="000000"/>
                <w:sz w:val="18"/>
                <w:szCs w:val="18"/>
              </w:rPr>
              <w:t>$</w:t>
            </w:r>
            <w:r w:rsidR="003F0051">
              <w:rPr>
                <w:rFonts w:ascii="Arial" w:hAnsi="Arial" w:cs="Arial"/>
                <w:color w:val="000000"/>
                <w:sz w:val="18"/>
                <w:szCs w:val="18"/>
              </w:rPr>
              <w:t>2.0</w:t>
            </w:r>
            <w:r w:rsidRPr="009A7311">
              <w:rPr>
                <w:rFonts w:ascii="Arial" w:hAnsi="Arial" w:cs="Arial"/>
                <w:color w:val="000000"/>
                <w:sz w:val="18"/>
                <w:szCs w:val="18"/>
              </w:rPr>
              <w:t>B</w:t>
            </w:r>
          </w:p>
        </w:tc>
        <w:tc>
          <w:tcPr>
            <w:tcW w:w="845" w:type="dxa"/>
          </w:tcPr>
          <w:p w14:paraId="35A05A57" w14:textId="038AB88C" w:rsidR="00193E59" w:rsidRPr="006777ED" w:rsidRDefault="00193E59" w:rsidP="00193E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727D6">
              <w:rPr>
                <w:rFonts w:ascii="Arial" w:hAnsi="Arial" w:cs="Arial"/>
                <w:color w:val="000000"/>
                <w:sz w:val="18"/>
                <w:szCs w:val="18"/>
              </w:rPr>
              <w:t>+</w:t>
            </w:r>
            <w:r w:rsidR="003F0051">
              <w:rPr>
                <w:rFonts w:ascii="Arial" w:hAnsi="Arial" w:cs="Arial"/>
                <w:color w:val="000000"/>
                <w:sz w:val="18"/>
                <w:szCs w:val="18"/>
              </w:rPr>
              <w:t>5.8</w:t>
            </w:r>
            <w:r w:rsidRPr="000727D6">
              <w:rPr>
                <w:rFonts w:ascii="Arial" w:hAnsi="Arial" w:cs="Arial"/>
                <w:color w:val="000000"/>
                <w:sz w:val="18"/>
                <w:szCs w:val="18"/>
              </w:rPr>
              <w:t>%</w:t>
            </w:r>
          </w:p>
        </w:tc>
        <w:tc>
          <w:tcPr>
            <w:tcW w:w="1043" w:type="dxa"/>
          </w:tcPr>
          <w:p w14:paraId="63B683D6" w14:textId="3CA6C3EA" w:rsidR="00193E59" w:rsidRPr="006777ED" w:rsidRDefault="003F0051" w:rsidP="00193E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+4.4</w:t>
            </w:r>
            <w:r w:rsidR="00193E59" w:rsidRPr="003E7338">
              <w:rPr>
                <w:rFonts w:ascii="Arial" w:hAnsi="Arial" w:cs="Arial"/>
                <w:color w:val="000000"/>
                <w:sz w:val="18"/>
                <w:szCs w:val="18"/>
              </w:rPr>
              <w:t>%</w:t>
            </w:r>
          </w:p>
        </w:tc>
        <w:tc>
          <w:tcPr>
            <w:tcW w:w="1043" w:type="dxa"/>
          </w:tcPr>
          <w:p w14:paraId="46CCA007" w14:textId="2703983F" w:rsidR="00193E59" w:rsidRDefault="00193E59" w:rsidP="00193E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433E4">
              <w:rPr>
                <w:rFonts w:ascii="Arial" w:hAnsi="Arial" w:cs="Arial"/>
                <w:color w:val="000000"/>
                <w:sz w:val="18"/>
                <w:szCs w:val="18"/>
              </w:rPr>
              <w:t>$</w:t>
            </w:r>
            <w:r w:rsidR="003F0051">
              <w:rPr>
                <w:rFonts w:ascii="Arial" w:hAnsi="Arial" w:cs="Arial"/>
                <w:color w:val="000000"/>
                <w:sz w:val="18"/>
                <w:szCs w:val="18"/>
              </w:rPr>
              <w:t>832</w:t>
            </w:r>
            <w:r w:rsidRPr="006433E4">
              <w:rPr>
                <w:rFonts w:ascii="Arial" w:hAnsi="Arial" w:cs="Arial"/>
                <w:color w:val="000000"/>
                <w:sz w:val="18"/>
                <w:szCs w:val="18"/>
              </w:rPr>
              <w:t>M</w:t>
            </w:r>
          </w:p>
        </w:tc>
        <w:tc>
          <w:tcPr>
            <w:tcW w:w="1043" w:type="dxa"/>
          </w:tcPr>
          <w:p w14:paraId="33240F86" w14:textId="61D3B2AA" w:rsidR="00193E59" w:rsidRDefault="00193E59" w:rsidP="00193E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F7AEA">
              <w:rPr>
                <w:rFonts w:ascii="Arial" w:hAnsi="Arial" w:cs="Arial"/>
                <w:color w:val="000000"/>
                <w:sz w:val="18"/>
                <w:szCs w:val="18"/>
              </w:rPr>
              <w:t>+</w:t>
            </w:r>
            <w:r w:rsidR="003F0051">
              <w:rPr>
                <w:rFonts w:ascii="Arial" w:hAnsi="Arial" w:cs="Arial"/>
                <w:color w:val="000000"/>
                <w:sz w:val="18"/>
                <w:szCs w:val="18"/>
              </w:rPr>
              <w:t>7.3</w:t>
            </w:r>
            <w:r w:rsidRPr="000F7AEA">
              <w:rPr>
                <w:rFonts w:ascii="Arial" w:hAnsi="Arial" w:cs="Arial"/>
                <w:color w:val="000000"/>
                <w:sz w:val="18"/>
                <w:szCs w:val="18"/>
              </w:rPr>
              <w:t>%</w:t>
            </w:r>
          </w:p>
        </w:tc>
        <w:tc>
          <w:tcPr>
            <w:tcW w:w="1043" w:type="dxa"/>
          </w:tcPr>
          <w:p w14:paraId="09745F80" w14:textId="2497EE61" w:rsidR="00193E59" w:rsidRDefault="00193E59" w:rsidP="00193E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F7AEA">
              <w:rPr>
                <w:rFonts w:ascii="Arial" w:hAnsi="Arial" w:cs="Arial"/>
                <w:color w:val="000000"/>
                <w:sz w:val="18"/>
                <w:szCs w:val="18"/>
              </w:rPr>
              <w:t>+</w:t>
            </w:r>
            <w:r w:rsidR="003F0051">
              <w:rPr>
                <w:rFonts w:ascii="Arial" w:hAnsi="Arial" w:cs="Arial"/>
                <w:color w:val="000000"/>
                <w:sz w:val="18"/>
                <w:szCs w:val="18"/>
              </w:rPr>
              <w:t>0.7</w:t>
            </w:r>
            <w:r w:rsidRPr="000F7AEA">
              <w:rPr>
                <w:rFonts w:ascii="Arial" w:hAnsi="Arial" w:cs="Arial"/>
                <w:color w:val="000000"/>
                <w:sz w:val="18"/>
                <w:szCs w:val="18"/>
              </w:rPr>
              <w:t>%</w:t>
            </w:r>
          </w:p>
        </w:tc>
        <w:tc>
          <w:tcPr>
            <w:tcW w:w="1043" w:type="dxa"/>
          </w:tcPr>
          <w:p w14:paraId="005470CC" w14:textId="6A804183" w:rsidR="00193E59" w:rsidRDefault="00193E59" w:rsidP="00193E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17D35">
              <w:rPr>
                <w:rFonts w:ascii="Arial" w:hAnsi="Arial" w:cs="Arial"/>
                <w:color w:val="000000"/>
                <w:sz w:val="18"/>
                <w:szCs w:val="18"/>
              </w:rPr>
              <w:t>$</w:t>
            </w:r>
            <w:r w:rsidR="003F0051">
              <w:rPr>
                <w:rFonts w:ascii="Arial" w:hAnsi="Arial" w:cs="Arial"/>
                <w:color w:val="000000"/>
                <w:sz w:val="18"/>
                <w:szCs w:val="18"/>
              </w:rPr>
              <w:t>382</w:t>
            </w:r>
            <w:r w:rsidRPr="00B17D35">
              <w:rPr>
                <w:rFonts w:ascii="Arial" w:hAnsi="Arial" w:cs="Arial"/>
                <w:color w:val="000000"/>
                <w:sz w:val="18"/>
                <w:szCs w:val="18"/>
              </w:rPr>
              <w:t>M</w:t>
            </w:r>
          </w:p>
        </w:tc>
        <w:tc>
          <w:tcPr>
            <w:tcW w:w="1043" w:type="dxa"/>
          </w:tcPr>
          <w:p w14:paraId="4277E51A" w14:textId="16D43701" w:rsidR="00193E59" w:rsidRDefault="00193E59" w:rsidP="00193E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47462">
              <w:rPr>
                <w:rFonts w:ascii="Arial" w:hAnsi="Arial" w:cs="Arial"/>
                <w:color w:val="000000"/>
                <w:sz w:val="18"/>
                <w:szCs w:val="18"/>
              </w:rPr>
              <w:t>+</w:t>
            </w:r>
            <w:r w:rsidR="003F0051">
              <w:rPr>
                <w:rFonts w:ascii="Arial" w:hAnsi="Arial" w:cs="Arial"/>
                <w:color w:val="000000"/>
                <w:sz w:val="18"/>
                <w:szCs w:val="18"/>
              </w:rPr>
              <w:t>2.1</w:t>
            </w:r>
            <w:r w:rsidRPr="00F47462">
              <w:rPr>
                <w:rFonts w:ascii="Arial" w:hAnsi="Arial" w:cs="Arial"/>
                <w:color w:val="000000"/>
                <w:sz w:val="18"/>
                <w:szCs w:val="18"/>
              </w:rPr>
              <w:t>%</w:t>
            </w:r>
          </w:p>
        </w:tc>
        <w:tc>
          <w:tcPr>
            <w:tcW w:w="1043" w:type="dxa"/>
          </w:tcPr>
          <w:p w14:paraId="0C9CE99F" w14:textId="0262346A" w:rsidR="00193E59" w:rsidRDefault="00193E59" w:rsidP="00193E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C723A5">
              <w:rPr>
                <w:rFonts w:ascii="Arial" w:hAnsi="Arial" w:cs="Arial"/>
                <w:color w:val="000000"/>
                <w:sz w:val="18"/>
                <w:szCs w:val="18"/>
              </w:rPr>
              <w:t>-</w:t>
            </w:r>
            <w:r w:rsidR="003F0051">
              <w:rPr>
                <w:rFonts w:ascii="Arial" w:hAnsi="Arial" w:cs="Arial"/>
                <w:color w:val="000000"/>
                <w:sz w:val="18"/>
                <w:szCs w:val="18"/>
              </w:rPr>
              <w:t>0.5</w:t>
            </w:r>
            <w:r w:rsidRPr="00C723A5">
              <w:rPr>
                <w:rFonts w:ascii="Arial" w:hAnsi="Arial" w:cs="Arial"/>
                <w:color w:val="000000"/>
                <w:sz w:val="18"/>
                <w:szCs w:val="18"/>
              </w:rPr>
              <w:t>%</w:t>
            </w:r>
          </w:p>
        </w:tc>
      </w:tr>
    </w:tbl>
    <w:p w14:paraId="529D82A7" w14:textId="1F673615" w:rsidR="00297E8F" w:rsidRDefault="00297E8F" w:rsidP="00297E8F">
      <w:pPr>
        <w:pStyle w:val="NoSpacing"/>
        <w:rPr>
          <w:rFonts w:ascii="Arial" w:hAnsi="Arial" w:cs="Arial"/>
          <w:sz w:val="20"/>
          <w:szCs w:val="20"/>
        </w:rPr>
      </w:pPr>
      <w:r>
        <w:rPr>
          <w:rFonts w:ascii="Arial" w:hAnsi="Arial" w:cs="Arial"/>
          <w:sz w:val="20"/>
          <w:szCs w:val="20"/>
        </w:rPr>
        <w:t xml:space="preserve"> </w:t>
      </w:r>
    </w:p>
    <w:p w14:paraId="5F35C4EB" w14:textId="77777777" w:rsidR="00947B9F" w:rsidRDefault="00947B9F" w:rsidP="00297E8F">
      <w:pPr>
        <w:pStyle w:val="NoSpacing"/>
        <w:rPr>
          <w:rFonts w:ascii="Arial" w:hAnsi="Arial" w:cs="Arial"/>
          <w:sz w:val="20"/>
          <w:szCs w:val="20"/>
        </w:rPr>
      </w:pPr>
    </w:p>
    <w:p w14:paraId="7D2DECE6" w14:textId="5CDE69EB" w:rsidR="00E8276F" w:rsidRPr="006879B2" w:rsidRDefault="00186F1E" w:rsidP="007A2A81">
      <w:pPr>
        <w:pStyle w:val="NoSpacing"/>
        <w:rPr>
          <w:rFonts w:ascii="Arial" w:hAnsi="Arial" w:cs="Arial"/>
          <w:b/>
          <w:color w:val="595959" w:themeColor="text1" w:themeTint="A6"/>
          <w:sz w:val="24"/>
          <w:szCs w:val="24"/>
        </w:rPr>
      </w:pPr>
      <w:bookmarkStart w:id="7" w:name="_Hlk76976129"/>
      <w:r>
        <w:rPr>
          <w:rFonts w:ascii="Arial" w:hAnsi="Arial" w:cs="Arial"/>
          <w:b/>
          <w:color w:val="595959" w:themeColor="text1" w:themeTint="A6"/>
          <w:sz w:val="24"/>
          <w:szCs w:val="24"/>
        </w:rPr>
        <w:t xml:space="preserve">Fresh </w:t>
      </w:r>
      <w:r w:rsidR="00E8276F" w:rsidRPr="006879B2">
        <w:rPr>
          <w:rFonts w:ascii="Arial" w:hAnsi="Arial" w:cs="Arial"/>
          <w:b/>
          <w:color w:val="595959" w:themeColor="text1" w:themeTint="A6"/>
          <w:sz w:val="24"/>
          <w:szCs w:val="24"/>
        </w:rPr>
        <w:t xml:space="preserve">Meat </w:t>
      </w:r>
      <w:r w:rsidR="00E54A99">
        <w:rPr>
          <w:rFonts w:ascii="Arial" w:hAnsi="Arial" w:cs="Arial"/>
          <w:b/>
          <w:color w:val="595959" w:themeColor="text1" w:themeTint="A6"/>
          <w:sz w:val="24"/>
          <w:szCs w:val="24"/>
        </w:rPr>
        <w:t xml:space="preserve">Sales </w:t>
      </w:r>
      <w:r w:rsidR="00E8276F" w:rsidRPr="006879B2">
        <w:rPr>
          <w:rFonts w:ascii="Arial" w:hAnsi="Arial" w:cs="Arial"/>
          <w:b/>
          <w:color w:val="595959" w:themeColor="text1" w:themeTint="A6"/>
          <w:sz w:val="24"/>
          <w:szCs w:val="24"/>
        </w:rPr>
        <w:t>by Protein</w:t>
      </w:r>
      <w:r w:rsidR="00E57D76">
        <w:rPr>
          <w:rFonts w:ascii="Arial" w:hAnsi="Arial" w:cs="Arial"/>
          <w:b/>
          <w:color w:val="595959" w:themeColor="text1" w:themeTint="A6"/>
          <w:sz w:val="24"/>
          <w:szCs w:val="24"/>
        </w:rPr>
        <w:t xml:space="preserve"> </w:t>
      </w:r>
    </w:p>
    <w:p w14:paraId="12B76A81" w14:textId="6B3732E9" w:rsidR="000D7D53" w:rsidRPr="000D7D53" w:rsidRDefault="000D7D53" w:rsidP="000D7D53">
      <w:pPr>
        <w:pStyle w:val="NoSpacing"/>
        <w:rPr>
          <w:rFonts w:ascii="Arial" w:hAnsi="Arial" w:cs="Arial"/>
          <w:sz w:val="20"/>
          <w:szCs w:val="20"/>
        </w:rPr>
      </w:pPr>
      <w:r w:rsidRPr="000D7D53">
        <w:rPr>
          <w:rFonts w:ascii="Arial" w:hAnsi="Arial" w:cs="Arial"/>
          <w:sz w:val="20"/>
          <w:szCs w:val="20"/>
        </w:rPr>
        <w:t>After being the only fresh commodity to post pound growth in February, beef once again led the charge in March. While chicken saw a modest 0.4% increase in pound sales, beef grew 2.7%, offsetting declines in pork, turkey, lamb, exotic and veal.</w:t>
      </w:r>
      <w:r>
        <w:rPr>
          <w:rFonts w:ascii="Arial" w:hAnsi="Arial" w:cs="Arial"/>
          <w:sz w:val="20"/>
          <w:szCs w:val="20"/>
        </w:rPr>
        <w:t xml:space="preserve"> Beef dollar sales grew 8% in March. </w:t>
      </w:r>
    </w:p>
    <w:p w14:paraId="3C5907D2" w14:textId="66DEBC4F" w:rsidR="00525982" w:rsidRPr="002C6723" w:rsidRDefault="00525982" w:rsidP="00F71B42">
      <w:pPr>
        <w:pStyle w:val="NoSpacing"/>
        <w:rPr>
          <w:rFonts w:ascii="Arial" w:hAnsi="Arial" w:cs="Arial"/>
          <w:sz w:val="14"/>
          <w:szCs w:val="14"/>
        </w:rPr>
      </w:pPr>
    </w:p>
    <w:tbl>
      <w:tblPr>
        <w:tblStyle w:val="ListTable6Colorful"/>
        <w:tblW w:w="10440" w:type="dxa"/>
        <w:tblLayout w:type="fixed"/>
        <w:tblLook w:val="04A0" w:firstRow="1" w:lastRow="0" w:firstColumn="1" w:lastColumn="0" w:noHBand="0" w:noVBand="1"/>
      </w:tblPr>
      <w:tblGrid>
        <w:gridCol w:w="1710"/>
        <w:gridCol w:w="900"/>
        <w:gridCol w:w="90"/>
        <w:gridCol w:w="1075"/>
        <w:gridCol w:w="1333"/>
        <w:gridCol w:w="22"/>
        <w:gridCol w:w="1710"/>
        <w:gridCol w:w="1080"/>
        <w:gridCol w:w="1187"/>
        <w:gridCol w:w="1333"/>
      </w:tblGrid>
      <w:tr w:rsidR="002C18CE" w:rsidRPr="0003007F" w14:paraId="17BFBC6C" w14:textId="77777777" w:rsidTr="00E61E49">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5130" w:type="dxa"/>
            <w:gridSpan w:val="6"/>
            <w:shd w:val="clear" w:color="auto" w:fill="17365D"/>
          </w:tcPr>
          <w:p w14:paraId="64494292" w14:textId="3E96C81E" w:rsidR="002C18CE" w:rsidRPr="00AB1306" w:rsidRDefault="00193E59" w:rsidP="000421E1">
            <w:pPr>
              <w:pStyle w:val="NoSpacing"/>
              <w:jc w:val="center"/>
              <w:rPr>
                <w:rFonts w:ascii="Arial" w:hAnsi="Arial" w:cs="Arial"/>
                <w:color w:val="FFFFFF" w:themeColor="background1"/>
                <w:sz w:val="18"/>
                <w:szCs w:val="18"/>
              </w:rPr>
            </w:pPr>
            <w:bookmarkStart w:id="8" w:name="_Hlk137219531"/>
            <w:r>
              <w:rPr>
                <w:rFonts w:ascii="Arial" w:hAnsi="Arial" w:cs="Arial"/>
                <w:color w:val="FFFFFF" w:themeColor="background1"/>
                <w:sz w:val="18"/>
                <w:szCs w:val="18"/>
              </w:rPr>
              <w:t>March</w:t>
            </w:r>
            <w:r w:rsidR="00C90554">
              <w:rPr>
                <w:rFonts w:ascii="Arial" w:hAnsi="Arial" w:cs="Arial"/>
                <w:color w:val="FFFFFF" w:themeColor="background1"/>
                <w:sz w:val="18"/>
                <w:szCs w:val="18"/>
              </w:rPr>
              <w:t xml:space="preserve"> </w:t>
            </w:r>
            <w:r w:rsidR="00C33171">
              <w:rPr>
                <w:rFonts w:ascii="Arial" w:hAnsi="Arial" w:cs="Arial"/>
                <w:color w:val="FFFFFF" w:themeColor="background1"/>
                <w:sz w:val="18"/>
                <w:szCs w:val="18"/>
              </w:rPr>
              <w:t>2026</w:t>
            </w:r>
          </w:p>
        </w:tc>
        <w:tc>
          <w:tcPr>
            <w:tcW w:w="1710" w:type="dxa"/>
            <w:shd w:val="clear" w:color="auto" w:fill="17365D"/>
          </w:tcPr>
          <w:p w14:paraId="698BCC41" w14:textId="77777777" w:rsidR="002C18CE" w:rsidRPr="00F515F4" w:rsidRDefault="002C18CE" w:rsidP="00FB48FE">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
        </w:tc>
        <w:tc>
          <w:tcPr>
            <w:tcW w:w="3600" w:type="dxa"/>
            <w:gridSpan w:val="3"/>
            <w:shd w:val="clear" w:color="auto" w:fill="17365D"/>
          </w:tcPr>
          <w:p w14:paraId="3327C510" w14:textId="7C806C48" w:rsidR="002C18CE" w:rsidRPr="0003007F" w:rsidRDefault="000D7CB9" w:rsidP="00FB48FE">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525982" w:rsidRPr="002A3B9B" w14:paraId="02E6A43C" w14:textId="77777777" w:rsidTr="00E61E4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710" w:type="dxa"/>
            <w:shd w:val="clear" w:color="auto" w:fill="17365D"/>
          </w:tcPr>
          <w:p w14:paraId="31AC4B42" w14:textId="77777777" w:rsidR="00525982" w:rsidRPr="002A3B9B" w:rsidRDefault="00525982" w:rsidP="005063B8">
            <w:pPr>
              <w:pStyle w:val="NoSpacing"/>
              <w:rPr>
                <w:rFonts w:ascii="Arial" w:hAnsi="Arial" w:cs="Arial"/>
                <w:color w:val="FFFFFF" w:themeColor="background1"/>
                <w:sz w:val="18"/>
                <w:szCs w:val="18"/>
              </w:rPr>
            </w:pPr>
            <w:r w:rsidRPr="002A3B9B">
              <w:rPr>
                <w:rFonts w:ascii="Arial" w:hAnsi="Arial" w:cs="Arial"/>
                <w:color w:val="FFFFFF" w:themeColor="background1"/>
                <w:sz w:val="18"/>
                <w:szCs w:val="18"/>
              </w:rPr>
              <w:t>Type</w:t>
            </w:r>
          </w:p>
        </w:tc>
        <w:tc>
          <w:tcPr>
            <w:tcW w:w="900" w:type="dxa"/>
            <w:shd w:val="clear" w:color="auto" w:fill="17365D"/>
          </w:tcPr>
          <w:p w14:paraId="39CFFC84" w14:textId="77777777" w:rsidR="00525982" w:rsidRPr="002A3B9B" w:rsidRDefault="00525982" w:rsidP="00FB48F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sales</w:t>
            </w:r>
          </w:p>
        </w:tc>
        <w:tc>
          <w:tcPr>
            <w:tcW w:w="1165" w:type="dxa"/>
            <w:gridSpan w:val="2"/>
            <w:shd w:val="clear" w:color="auto" w:fill="17365D"/>
          </w:tcPr>
          <w:p w14:paraId="7B17301D" w14:textId="77777777" w:rsidR="00525982" w:rsidRPr="002A3B9B" w:rsidRDefault="00525982" w:rsidP="00FB48F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vs. YA</w:t>
            </w:r>
          </w:p>
        </w:tc>
        <w:tc>
          <w:tcPr>
            <w:tcW w:w="1333" w:type="dxa"/>
            <w:shd w:val="clear" w:color="auto" w:fill="17365D"/>
          </w:tcPr>
          <w:p w14:paraId="439DB269" w14:textId="77777777" w:rsidR="00525982" w:rsidRPr="002A3B9B" w:rsidRDefault="00525982" w:rsidP="00FB48FE">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Lbs vs. YA</w:t>
            </w:r>
          </w:p>
        </w:tc>
        <w:tc>
          <w:tcPr>
            <w:tcW w:w="1732" w:type="dxa"/>
            <w:gridSpan w:val="2"/>
            <w:shd w:val="clear" w:color="auto" w:fill="17365D"/>
          </w:tcPr>
          <w:p w14:paraId="13D232F3" w14:textId="77777777" w:rsidR="00525982" w:rsidRPr="002A3B9B" w:rsidRDefault="00525982" w:rsidP="0031766E">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Type</w:t>
            </w:r>
          </w:p>
        </w:tc>
        <w:tc>
          <w:tcPr>
            <w:tcW w:w="1080" w:type="dxa"/>
            <w:shd w:val="clear" w:color="auto" w:fill="17365D"/>
          </w:tcPr>
          <w:p w14:paraId="01F94EBA" w14:textId="77777777" w:rsidR="00525982" w:rsidRPr="002A3B9B" w:rsidRDefault="00525982" w:rsidP="00FB48FE">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sales</w:t>
            </w:r>
          </w:p>
        </w:tc>
        <w:tc>
          <w:tcPr>
            <w:tcW w:w="1187" w:type="dxa"/>
            <w:shd w:val="clear" w:color="auto" w:fill="17365D"/>
          </w:tcPr>
          <w:p w14:paraId="544DDCC2" w14:textId="77777777" w:rsidR="00525982" w:rsidRPr="002A3B9B" w:rsidRDefault="00525982" w:rsidP="00FB48FE">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vs. YA</w:t>
            </w:r>
          </w:p>
        </w:tc>
        <w:tc>
          <w:tcPr>
            <w:tcW w:w="1333" w:type="dxa"/>
            <w:shd w:val="clear" w:color="auto" w:fill="17365D"/>
          </w:tcPr>
          <w:p w14:paraId="4A1AD83E" w14:textId="77777777" w:rsidR="00525982" w:rsidRPr="002A3B9B" w:rsidRDefault="00525982" w:rsidP="00FB48FE">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Lbs vs. YA</w:t>
            </w:r>
          </w:p>
        </w:tc>
      </w:tr>
      <w:tr w:rsidR="00A67EB5" w:rsidRPr="00094547" w14:paraId="0DF0D3D5" w14:textId="77777777" w:rsidTr="006219A4">
        <w:trPr>
          <w:trHeight w:val="303"/>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65373FE0" w14:textId="0962A072" w:rsidR="00A67EB5" w:rsidRPr="000421E1" w:rsidRDefault="00A67EB5" w:rsidP="006219A4">
            <w:pPr>
              <w:pStyle w:val="NoSpacing"/>
              <w:rPr>
                <w:rFonts w:ascii="Arial" w:hAnsi="Arial" w:cs="Arial"/>
                <w:sz w:val="18"/>
                <w:szCs w:val="18"/>
              </w:rPr>
            </w:pPr>
            <w:r w:rsidRPr="000421E1">
              <w:rPr>
                <w:rFonts w:ascii="Arial" w:hAnsi="Arial" w:cs="Arial"/>
                <w:bCs w:val="0"/>
                <w:sz w:val="18"/>
                <w:szCs w:val="18"/>
              </w:rPr>
              <w:t>Total fresh meat</w:t>
            </w:r>
          </w:p>
        </w:tc>
        <w:tc>
          <w:tcPr>
            <w:tcW w:w="990" w:type="dxa"/>
            <w:gridSpan w:val="2"/>
            <w:vAlign w:val="center"/>
          </w:tcPr>
          <w:p w14:paraId="139A696B" w14:textId="5CA0B905" w:rsidR="00A67EB5" w:rsidRPr="00A67EB5" w:rsidRDefault="00A67EB5" w:rsidP="006219A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A67EB5">
              <w:rPr>
                <w:rFonts w:ascii="Arial" w:hAnsi="Arial" w:cs="Arial"/>
                <w:b/>
                <w:color w:val="000000"/>
                <w:sz w:val="18"/>
                <w:szCs w:val="18"/>
              </w:rPr>
              <w:t>$</w:t>
            </w:r>
            <w:r w:rsidR="00EE3400">
              <w:rPr>
                <w:rFonts w:ascii="Arial" w:hAnsi="Arial" w:cs="Arial"/>
                <w:b/>
                <w:color w:val="000000"/>
                <w:sz w:val="18"/>
                <w:szCs w:val="18"/>
              </w:rPr>
              <w:t>6.2</w:t>
            </w:r>
            <w:r w:rsidRPr="00A67EB5">
              <w:rPr>
                <w:rFonts w:ascii="Arial" w:hAnsi="Arial" w:cs="Arial"/>
                <w:b/>
                <w:color w:val="000000"/>
                <w:sz w:val="18"/>
                <w:szCs w:val="18"/>
              </w:rPr>
              <w:t>B</w:t>
            </w:r>
          </w:p>
        </w:tc>
        <w:tc>
          <w:tcPr>
            <w:tcW w:w="1075" w:type="dxa"/>
            <w:vAlign w:val="center"/>
          </w:tcPr>
          <w:p w14:paraId="25CAEDB6" w14:textId="057AB45A" w:rsidR="00A67EB5" w:rsidRPr="00A67EB5" w:rsidRDefault="00A67EB5" w:rsidP="006219A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A67EB5">
              <w:rPr>
                <w:rFonts w:ascii="Arial" w:hAnsi="Arial" w:cs="Arial"/>
                <w:b/>
                <w:color w:val="000000"/>
                <w:sz w:val="18"/>
                <w:szCs w:val="18"/>
              </w:rPr>
              <w:t>+</w:t>
            </w:r>
            <w:r w:rsidR="00EE3400">
              <w:rPr>
                <w:rFonts w:ascii="Arial" w:hAnsi="Arial" w:cs="Arial"/>
                <w:b/>
                <w:color w:val="000000"/>
                <w:sz w:val="18"/>
                <w:szCs w:val="18"/>
              </w:rPr>
              <w:t>6.0</w:t>
            </w:r>
            <w:r w:rsidRPr="00A67EB5">
              <w:rPr>
                <w:rFonts w:ascii="Arial" w:hAnsi="Arial" w:cs="Arial"/>
                <w:b/>
                <w:color w:val="000000"/>
                <w:sz w:val="18"/>
                <w:szCs w:val="18"/>
              </w:rPr>
              <w:t>%</w:t>
            </w:r>
          </w:p>
        </w:tc>
        <w:tc>
          <w:tcPr>
            <w:tcW w:w="1333" w:type="dxa"/>
            <w:vAlign w:val="center"/>
          </w:tcPr>
          <w:p w14:paraId="750E2FAA" w14:textId="6F84C896" w:rsidR="00A67EB5" w:rsidRPr="00A67EB5" w:rsidRDefault="00EE3400" w:rsidP="006219A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color w:val="000000"/>
                <w:sz w:val="18"/>
                <w:szCs w:val="18"/>
              </w:rPr>
              <w:t>+0.9</w:t>
            </w:r>
            <w:r w:rsidR="00A67EB5" w:rsidRPr="00A67EB5">
              <w:rPr>
                <w:rFonts w:ascii="Arial" w:hAnsi="Arial" w:cs="Arial"/>
                <w:b/>
                <w:color w:val="000000"/>
                <w:sz w:val="18"/>
                <w:szCs w:val="18"/>
              </w:rPr>
              <w:t>%</w:t>
            </w:r>
          </w:p>
        </w:tc>
        <w:tc>
          <w:tcPr>
            <w:tcW w:w="1732" w:type="dxa"/>
            <w:gridSpan w:val="2"/>
            <w:vAlign w:val="center"/>
          </w:tcPr>
          <w:p w14:paraId="3C4770B6" w14:textId="5C41D3DF" w:rsidR="00A67EB5" w:rsidRPr="000421E1" w:rsidRDefault="00A67EB5" w:rsidP="006219A4">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0421E1">
              <w:rPr>
                <w:rFonts w:ascii="Arial" w:hAnsi="Arial" w:cs="Arial"/>
                <w:b/>
                <w:bCs/>
                <w:sz w:val="18"/>
                <w:szCs w:val="18"/>
              </w:rPr>
              <w:t>Total fresh meat</w:t>
            </w:r>
          </w:p>
        </w:tc>
        <w:tc>
          <w:tcPr>
            <w:tcW w:w="1080" w:type="dxa"/>
            <w:vAlign w:val="center"/>
          </w:tcPr>
          <w:p w14:paraId="1BBBDBF3" w14:textId="7812D510" w:rsidR="00A67EB5" w:rsidRPr="00A67EB5" w:rsidRDefault="00A67EB5" w:rsidP="006219A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A67EB5">
              <w:rPr>
                <w:rFonts w:ascii="Arial" w:hAnsi="Arial" w:cs="Arial"/>
                <w:b/>
                <w:color w:val="000000"/>
                <w:sz w:val="18"/>
                <w:szCs w:val="18"/>
              </w:rPr>
              <w:t>$</w:t>
            </w:r>
            <w:r w:rsidR="00EE3400">
              <w:rPr>
                <w:rFonts w:ascii="Arial" w:hAnsi="Arial" w:cs="Arial"/>
                <w:b/>
                <w:color w:val="000000"/>
                <w:sz w:val="18"/>
                <w:szCs w:val="18"/>
              </w:rPr>
              <w:t>80.8</w:t>
            </w:r>
            <w:r w:rsidRPr="00A67EB5">
              <w:rPr>
                <w:rFonts w:ascii="Arial" w:hAnsi="Arial" w:cs="Arial"/>
                <w:b/>
                <w:color w:val="000000"/>
                <w:sz w:val="18"/>
                <w:szCs w:val="18"/>
              </w:rPr>
              <w:t>B</w:t>
            </w:r>
          </w:p>
        </w:tc>
        <w:tc>
          <w:tcPr>
            <w:tcW w:w="1187" w:type="dxa"/>
            <w:vAlign w:val="center"/>
          </w:tcPr>
          <w:p w14:paraId="10F1A6FD" w14:textId="43EEA68D" w:rsidR="00A67EB5" w:rsidRPr="00A67EB5" w:rsidRDefault="00A67EB5" w:rsidP="006219A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A67EB5">
              <w:rPr>
                <w:rFonts w:ascii="Arial" w:hAnsi="Arial" w:cs="Arial"/>
                <w:b/>
                <w:color w:val="000000"/>
                <w:sz w:val="18"/>
                <w:szCs w:val="18"/>
              </w:rPr>
              <w:t>+</w:t>
            </w:r>
            <w:r w:rsidR="00EE3400">
              <w:rPr>
                <w:rFonts w:ascii="Arial" w:hAnsi="Arial" w:cs="Arial"/>
                <w:b/>
                <w:color w:val="000000"/>
                <w:sz w:val="18"/>
                <w:szCs w:val="18"/>
              </w:rPr>
              <w:t>8.4</w:t>
            </w:r>
            <w:r w:rsidRPr="00A67EB5">
              <w:rPr>
                <w:rFonts w:ascii="Arial" w:hAnsi="Arial" w:cs="Arial"/>
                <w:b/>
                <w:color w:val="000000"/>
                <w:sz w:val="18"/>
                <w:szCs w:val="18"/>
              </w:rPr>
              <w:t>%</w:t>
            </w:r>
          </w:p>
        </w:tc>
        <w:tc>
          <w:tcPr>
            <w:tcW w:w="1333" w:type="dxa"/>
            <w:vAlign w:val="center"/>
          </w:tcPr>
          <w:p w14:paraId="219FE3BF" w14:textId="6F163995" w:rsidR="00A67EB5" w:rsidRPr="00A67EB5" w:rsidRDefault="00A67EB5" w:rsidP="006219A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A67EB5">
              <w:rPr>
                <w:rFonts w:ascii="Arial" w:hAnsi="Arial" w:cs="Arial"/>
                <w:b/>
                <w:color w:val="000000"/>
                <w:sz w:val="18"/>
                <w:szCs w:val="18"/>
              </w:rPr>
              <w:t>+</w:t>
            </w:r>
            <w:r w:rsidR="00EE3400">
              <w:rPr>
                <w:rFonts w:ascii="Arial" w:hAnsi="Arial" w:cs="Arial"/>
                <w:b/>
                <w:color w:val="000000"/>
                <w:sz w:val="18"/>
                <w:szCs w:val="18"/>
              </w:rPr>
              <w:t>2.3</w:t>
            </w:r>
            <w:r w:rsidRPr="00A67EB5">
              <w:rPr>
                <w:rFonts w:ascii="Arial" w:hAnsi="Arial" w:cs="Arial"/>
                <w:b/>
                <w:color w:val="000000"/>
                <w:sz w:val="18"/>
                <w:szCs w:val="18"/>
              </w:rPr>
              <w:t>%</w:t>
            </w:r>
          </w:p>
        </w:tc>
      </w:tr>
      <w:tr w:rsidR="009662A7" w:rsidRPr="002A3B9B" w14:paraId="5325D920" w14:textId="77777777" w:rsidTr="007E5368">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6AFB43C1" w14:textId="716B0B8A" w:rsidR="009662A7" w:rsidRPr="000421E1" w:rsidRDefault="009662A7" w:rsidP="009662A7">
            <w:pPr>
              <w:pStyle w:val="NoSpacing"/>
              <w:rPr>
                <w:rFonts w:ascii="Arial" w:hAnsi="Arial" w:cs="Arial"/>
                <w:b w:val="0"/>
                <w:bCs w:val="0"/>
                <w:sz w:val="18"/>
                <w:szCs w:val="18"/>
              </w:rPr>
            </w:pPr>
            <w:r w:rsidRPr="000421E1">
              <w:rPr>
                <w:rFonts w:ascii="Arial" w:hAnsi="Arial" w:cs="Arial"/>
                <w:b w:val="0"/>
                <w:sz w:val="18"/>
                <w:szCs w:val="18"/>
              </w:rPr>
              <w:t>Fresh beef</w:t>
            </w:r>
          </w:p>
        </w:tc>
        <w:tc>
          <w:tcPr>
            <w:tcW w:w="990" w:type="dxa"/>
            <w:gridSpan w:val="2"/>
            <w:vAlign w:val="center"/>
          </w:tcPr>
          <w:p w14:paraId="446337DA" w14:textId="54CC214E" w:rsidR="009662A7" w:rsidRPr="000421E1" w:rsidRDefault="009662A7" w:rsidP="009662A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9418C">
              <w:rPr>
                <w:rFonts w:ascii="Arial" w:hAnsi="Arial" w:cs="Arial"/>
                <w:sz w:val="18"/>
                <w:szCs w:val="18"/>
              </w:rPr>
              <w:t>$</w:t>
            </w:r>
            <w:r w:rsidR="00EE3400">
              <w:rPr>
                <w:rFonts w:ascii="Arial" w:hAnsi="Arial" w:cs="Arial"/>
                <w:sz w:val="18"/>
                <w:szCs w:val="18"/>
              </w:rPr>
              <w:t>3.6</w:t>
            </w:r>
            <w:r w:rsidRPr="00E9418C">
              <w:rPr>
                <w:rFonts w:ascii="Arial" w:hAnsi="Arial" w:cs="Arial"/>
                <w:sz w:val="18"/>
                <w:szCs w:val="18"/>
              </w:rPr>
              <w:t>B</w:t>
            </w:r>
          </w:p>
        </w:tc>
        <w:tc>
          <w:tcPr>
            <w:tcW w:w="1075" w:type="dxa"/>
            <w:vAlign w:val="center"/>
          </w:tcPr>
          <w:p w14:paraId="2D628009" w14:textId="5CBAB907" w:rsidR="009662A7" w:rsidRPr="000421E1" w:rsidRDefault="009662A7" w:rsidP="009662A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03997">
              <w:rPr>
                <w:rFonts w:ascii="Arial" w:hAnsi="Arial" w:cs="Arial"/>
                <w:color w:val="000000"/>
                <w:sz w:val="18"/>
                <w:szCs w:val="18"/>
              </w:rPr>
              <w:t>+</w:t>
            </w:r>
            <w:r w:rsidR="00EE3400">
              <w:rPr>
                <w:rFonts w:ascii="Arial" w:hAnsi="Arial" w:cs="Arial"/>
                <w:color w:val="000000"/>
                <w:sz w:val="18"/>
                <w:szCs w:val="18"/>
              </w:rPr>
              <w:t>8.0</w:t>
            </w:r>
            <w:r w:rsidRPr="00E03997">
              <w:rPr>
                <w:rFonts w:ascii="Arial" w:hAnsi="Arial" w:cs="Arial"/>
                <w:color w:val="000000"/>
                <w:sz w:val="18"/>
                <w:szCs w:val="18"/>
              </w:rPr>
              <w:t>%</w:t>
            </w:r>
          </w:p>
        </w:tc>
        <w:tc>
          <w:tcPr>
            <w:tcW w:w="1333" w:type="dxa"/>
            <w:vAlign w:val="center"/>
          </w:tcPr>
          <w:p w14:paraId="36D6AAF1" w14:textId="197AC3D4" w:rsidR="009662A7" w:rsidRPr="000421E1" w:rsidRDefault="009662A7" w:rsidP="009662A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03997">
              <w:rPr>
                <w:rFonts w:ascii="Arial" w:hAnsi="Arial" w:cs="Arial"/>
                <w:color w:val="000000"/>
                <w:sz w:val="18"/>
                <w:szCs w:val="18"/>
              </w:rPr>
              <w:t>+</w:t>
            </w:r>
            <w:r w:rsidR="00EE3400">
              <w:rPr>
                <w:rFonts w:ascii="Arial" w:hAnsi="Arial" w:cs="Arial"/>
                <w:color w:val="000000"/>
                <w:sz w:val="18"/>
                <w:szCs w:val="18"/>
              </w:rPr>
              <w:t>2.7</w:t>
            </w:r>
            <w:r w:rsidRPr="00E03997">
              <w:rPr>
                <w:rFonts w:ascii="Arial" w:hAnsi="Arial" w:cs="Arial"/>
                <w:color w:val="000000"/>
                <w:sz w:val="18"/>
                <w:szCs w:val="18"/>
              </w:rPr>
              <w:t>%</w:t>
            </w:r>
          </w:p>
        </w:tc>
        <w:tc>
          <w:tcPr>
            <w:tcW w:w="1732" w:type="dxa"/>
            <w:gridSpan w:val="2"/>
            <w:vAlign w:val="center"/>
          </w:tcPr>
          <w:p w14:paraId="6468B8F0" w14:textId="50F6BFEF" w:rsidR="009662A7" w:rsidRPr="000421E1" w:rsidRDefault="009662A7" w:rsidP="009662A7">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0421E1">
              <w:rPr>
                <w:rFonts w:ascii="Arial" w:hAnsi="Arial" w:cs="Arial"/>
                <w:sz w:val="18"/>
                <w:szCs w:val="18"/>
              </w:rPr>
              <w:t>Fresh beef</w:t>
            </w:r>
          </w:p>
        </w:tc>
        <w:tc>
          <w:tcPr>
            <w:tcW w:w="1080" w:type="dxa"/>
          </w:tcPr>
          <w:p w14:paraId="208BC3C7" w14:textId="6FA53D63" w:rsidR="009662A7" w:rsidRPr="000421E1" w:rsidRDefault="009662A7" w:rsidP="009662A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A1778">
              <w:rPr>
                <w:rFonts w:ascii="Arial" w:hAnsi="Arial" w:cs="Arial"/>
                <w:color w:val="auto"/>
                <w:sz w:val="18"/>
                <w:szCs w:val="18"/>
              </w:rPr>
              <w:t>$</w:t>
            </w:r>
            <w:r w:rsidR="00EE3400">
              <w:rPr>
                <w:rFonts w:ascii="Arial" w:hAnsi="Arial" w:cs="Arial"/>
                <w:color w:val="auto"/>
                <w:sz w:val="18"/>
                <w:szCs w:val="18"/>
              </w:rPr>
              <w:t>46.1</w:t>
            </w:r>
            <w:r w:rsidRPr="002A1778">
              <w:rPr>
                <w:rFonts w:ascii="Arial" w:hAnsi="Arial" w:cs="Arial"/>
                <w:color w:val="auto"/>
                <w:sz w:val="18"/>
                <w:szCs w:val="18"/>
              </w:rPr>
              <w:t>B</w:t>
            </w:r>
          </w:p>
        </w:tc>
        <w:tc>
          <w:tcPr>
            <w:tcW w:w="1187" w:type="dxa"/>
          </w:tcPr>
          <w:p w14:paraId="2CE2750C" w14:textId="1E60F11F" w:rsidR="009662A7" w:rsidRPr="000421E1" w:rsidRDefault="009662A7" w:rsidP="009662A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08C8">
              <w:rPr>
                <w:rFonts w:ascii="Arial" w:hAnsi="Arial" w:cs="Arial"/>
                <w:color w:val="000000"/>
                <w:sz w:val="18"/>
                <w:szCs w:val="18"/>
              </w:rPr>
              <w:t>+</w:t>
            </w:r>
            <w:r w:rsidR="00EE3400">
              <w:rPr>
                <w:rFonts w:ascii="Arial" w:hAnsi="Arial" w:cs="Arial"/>
                <w:color w:val="000000"/>
                <w:sz w:val="18"/>
                <w:szCs w:val="18"/>
              </w:rPr>
              <w:t>11.2</w:t>
            </w:r>
            <w:r w:rsidRPr="00B408C8">
              <w:rPr>
                <w:rFonts w:ascii="Arial" w:hAnsi="Arial" w:cs="Arial"/>
                <w:color w:val="000000"/>
                <w:sz w:val="18"/>
                <w:szCs w:val="18"/>
              </w:rPr>
              <w:t>%</w:t>
            </w:r>
          </w:p>
        </w:tc>
        <w:tc>
          <w:tcPr>
            <w:tcW w:w="1333" w:type="dxa"/>
            <w:vAlign w:val="center"/>
          </w:tcPr>
          <w:p w14:paraId="06B11957" w14:textId="2E4588E8" w:rsidR="009662A7" w:rsidRPr="000421E1" w:rsidRDefault="009662A7" w:rsidP="009662A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E63B5">
              <w:rPr>
                <w:rFonts w:ascii="Arial" w:hAnsi="Arial" w:cs="Arial"/>
                <w:color w:val="000000"/>
                <w:sz w:val="18"/>
                <w:szCs w:val="18"/>
              </w:rPr>
              <w:t>+</w:t>
            </w:r>
            <w:r w:rsidR="00EE3400">
              <w:rPr>
                <w:rFonts w:ascii="Arial" w:hAnsi="Arial" w:cs="Arial"/>
                <w:color w:val="000000"/>
                <w:sz w:val="18"/>
                <w:szCs w:val="18"/>
              </w:rPr>
              <w:t>3.5</w:t>
            </w:r>
            <w:r w:rsidRPr="007E63B5">
              <w:rPr>
                <w:rFonts w:ascii="Arial" w:hAnsi="Arial" w:cs="Arial"/>
                <w:color w:val="000000"/>
                <w:sz w:val="18"/>
                <w:szCs w:val="18"/>
              </w:rPr>
              <w:t>%</w:t>
            </w:r>
          </w:p>
        </w:tc>
      </w:tr>
      <w:tr w:rsidR="009662A7" w:rsidRPr="002A3B9B" w14:paraId="290F85FA" w14:textId="77777777" w:rsidTr="007E5368">
        <w:trPr>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6E077524" w14:textId="3B0D5F56" w:rsidR="009662A7" w:rsidRPr="000421E1" w:rsidRDefault="009662A7" w:rsidP="009662A7">
            <w:pPr>
              <w:pStyle w:val="NoSpacing"/>
              <w:rPr>
                <w:rFonts w:ascii="Arial" w:hAnsi="Arial" w:cs="Arial"/>
                <w:b w:val="0"/>
                <w:bCs w:val="0"/>
                <w:sz w:val="18"/>
                <w:szCs w:val="18"/>
              </w:rPr>
            </w:pPr>
            <w:r w:rsidRPr="000421E1">
              <w:rPr>
                <w:rFonts w:ascii="Arial" w:hAnsi="Arial" w:cs="Arial"/>
                <w:b w:val="0"/>
                <w:sz w:val="18"/>
                <w:szCs w:val="18"/>
              </w:rPr>
              <w:t>Fresh chicken</w:t>
            </w:r>
          </w:p>
        </w:tc>
        <w:tc>
          <w:tcPr>
            <w:tcW w:w="990" w:type="dxa"/>
            <w:gridSpan w:val="2"/>
            <w:vAlign w:val="center"/>
          </w:tcPr>
          <w:p w14:paraId="2F25E216" w14:textId="07B2226C" w:rsidR="009662A7" w:rsidRPr="000421E1" w:rsidRDefault="009662A7" w:rsidP="009662A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9418C">
              <w:rPr>
                <w:rFonts w:ascii="Arial" w:hAnsi="Arial" w:cs="Arial"/>
                <w:sz w:val="18"/>
                <w:szCs w:val="18"/>
              </w:rPr>
              <w:t>$</w:t>
            </w:r>
            <w:r w:rsidR="00EE3400">
              <w:rPr>
                <w:rFonts w:ascii="Arial" w:hAnsi="Arial" w:cs="Arial"/>
                <w:sz w:val="18"/>
                <w:szCs w:val="18"/>
              </w:rPr>
              <w:t>1.6</w:t>
            </w:r>
            <w:r w:rsidRPr="00E9418C">
              <w:rPr>
                <w:rFonts w:ascii="Arial" w:hAnsi="Arial" w:cs="Arial"/>
                <w:sz w:val="18"/>
                <w:szCs w:val="18"/>
              </w:rPr>
              <w:t>B</w:t>
            </w:r>
          </w:p>
        </w:tc>
        <w:tc>
          <w:tcPr>
            <w:tcW w:w="1075" w:type="dxa"/>
            <w:vAlign w:val="center"/>
          </w:tcPr>
          <w:p w14:paraId="5B5F3125" w14:textId="03EFD1D5" w:rsidR="009662A7" w:rsidRPr="000421E1" w:rsidRDefault="009662A7" w:rsidP="009662A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03997">
              <w:rPr>
                <w:rFonts w:ascii="Arial" w:hAnsi="Arial" w:cs="Arial"/>
                <w:color w:val="000000"/>
                <w:sz w:val="18"/>
                <w:szCs w:val="18"/>
              </w:rPr>
              <w:t>+</w:t>
            </w:r>
            <w:r w:rsidR="00EE3400">
              <w:rPr>
                <w:rFonts w:ascii="Arial" w:hAnsi="Arial" w:cs="Arial"/>
                <w:color w:val="000000"/>
                <w:sz w:val="18"/>
                <w:szCs w:val="18"/>
              </w:rPr>
              <w:t>3.3</w:t>
            </w:r>
            <w:r w:rsidRPr="00E03997">
              <w:rPr>
                <w:rFonts w:ascii="Arial" w:hAnsi="Arial" w:cs="Arial"/>
                <w:color w:val="000000"/>
                <w:sz w:val="18"/>
                <w:szCs w:val="18"/>
              </w:rPr>
              <w:t>%</w:t>
            </w:r>
          </w:p>
        </w:tc>
        <w:tc>
          <w:tcPr>
            <w:tcW w:w="1333" w:type="dxa"/>
          </w:tcPr>
          <w:p w14:paraId="6DED3965" w14:textId="1E751A6D" w:rsidR="009662A7" w:rsidRPr="000421E1" w:rsidRDefault="00EE3400" w:rsidP="009662A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color w:val="000000"/>
                <w:sz w:val="18"/>
                <w:szCs w:val="18"/>
              </w:rPr>
              <w:t>+0.4</w:t>
            </w:r>
            <w:r w:rsidR="009662A7" w:rsidRPr="006B7586">
              <w:rPr>
                <w:rFonts w:ascii="Arial" w:hAnsi="Arial" w:cs="Arial"/>
                <w:color w:val="000000"/>
                <w:sz w:val="18"/>
                <w:szCs w:val="18"/>
              </w:rPr>
              <w:t>%</w:t>
            </w:r>
          </w:p>
        </w:tc>
        <w:tc>
          <w:tcPr>
            <w:tcW w:w="1732" w:type="dxa"/>
            <w:gridSpan w:val="2"/>
            <w:vAlign w:val="center"/>
          </w:tcPr>
          <w:p w14:paraId="40BFD98B" w14:textId="7192D2A7" w:rsidR="009662A7" w:rsidRPr="000421E1" w:rsidRDefault="009662A7" w:rsidP="009662A7">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0421E1">
              <w:rPr>
                <w:rFonts w:ascii="Arial" w:hAnsi="Arial" w:cs="Arial"/>
                <w:sz w:val="18"/>
                <w:szCs w:val="18"/>
              </w:rPr>
              <w:t>Fresh chicken</w:t>
            </w:r>
          </w:p>
        </w:tc>
        <w:tc>
          <w:tcPr>
            <w:tcW w:w="1080" w:type="dxa"/>
          </w:tcPr>
          <w:p w14:paraId="1B097B18" w14:textId="00731410" w:rsidR="009662A7" w:rsidRPr="000421E1" w:rsidRDefault="009662A7" w:rsidP="009662A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A1778">
              <w:rPr>
                <w:rFonts w:ascii="Arial" w:hAnsi="Arial" w:cs="Arial"/>
                <w:color w:val="auto"/>
                <w:sz w:val="18"/>
                <w:szCs w:val="18"/>
              </w:rPr>
              <w:t>$</w:t>
            </w:r>
            <w:r w:rsidR="00EE3400">
              <w:rPr>
                <w:rFonts w:ascii="Arial" w:hAnsi="Arial" w:cs="Arial"/>
                <w:color w:val="auto"/>
                <w:sz w:val="18"/>
                <w:szCs w:val="18"/>
              </w:rPr>
              <w:t>20.9</w:t>
            </w:r>
            <w:r w:rsidRPr="002A1778">
              <w:rPr>
                <w:rFonts w:ascii="Arial" w:hAnsi="Arial" w:cs="Arial"/>
                <w:color w:val="auto"/>
                <w:sz w:val="18"/>
                <w:szCs w:val="18"/>
              </w:rPr>
              <w:t>B</w:t>
            </w:r>
          </w:p>
        </w:tc>
        <w:tc>
          <w:tcPr>
            <w:tcW w:w="1187" w:type="dxa"/>
          </w:tcPr>
          <w:p w14:paraId="55C41A24" w14:textId="65BD28B6" w:rsidR="009662A7" w:rsidRPr="000421E1" w:rsidRDefault="009662A7" w:rsidP="009662A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08C8">
              <w:rPr>
                <w:rFonts w:ascii="Arial" w:hAnsi="Arial" w:cs="Arial"/>
                <w:color w:val="000000"/>
                <w:sz w:val="18"/>
                <w:szCs w:val="18"/>
              </w:rPr>
              <w:t>+</w:t>
            </w:r>
            <w:r w:rsidR="00EE3400">
              <w:rPr>
                <w:rFonts w:ascii="Arial" w:hAnsi="Arial" w:cs="Arial"/>
                <w:color w:val="000000"/>
                <w:sz w:val="18"/>
                <w:szCs w:val="18"/>
              </w:rPr>
              <w:t>5.8</w:t>
            </w:r>
            <w:r w:rsidRPr="00B408C8">
              <w:rPr>
                <w:rFonts w:ascii="Arial" w:hAnsi="Arial" w:cs="Arial"/>
                <w:color w:val="000000"/>
                <w:sz w:val="18"/>
                <w:szCs w:val="18"/>
              </w:rPr>
              <w:t>%</w:t>
            </w:r>
          </w:p>
        </w:tc>
        <w:tc>
          <w:tcPr>
            <w:tcW w:w="1333" w:type="dxa"/>
          </w:tcPr>
          <w:p w14:paraId="5F2BA96C" w14:textId="219669C0" w:rsidR="009662A7" w:rsidRPr="000421E1" w:rsidRDefault="009662A7" w:rsidP="009662A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361DA">
              <w:rPr>
                <w:rFonts w:ascii="Arial" w:hAnsi="Arial" w:cs="Arial"/>
                <w:color w:val="000000"/>
                <w:sz w:val="18"/>
                <w:szCs w:val="18"/>
              </w:rPr>
              <w:t>+</w:t>
            </w:r>
            <w:r w:rsidR="00EE3400">
              <w:rPr>
                <w:rFonts w:ascii="Arial" w:hAnsi="Arial" w:cs="Arial"/>
                <w:color w:val="000000"/>
                <w:sz w:val="18"/>
                <w:szCs w:val="18"/>
              </w:rPr>
              <w:t>2.3</w:t>
            </w:r>
            <w:r w:rsidRPr="009361DA">
              <w:rPr>
                <w:rFonts w:ascii="Arial" w:hAnsi="Arial" w:cs="Arial"/>
                <w:color w:val="000000"/>
                <w:sz w:val="18"/>
                <w:szCs w:val="18"/>
              </w:rPr>
              <w:t>%</w:t>
            </w:r>
          </w:p>
        </w:tc>
      </w:tr>
      <w:tr w:rsidR="009662A7" w:rsidRPr="002A3B9B" w14:paraId="72B42EE3" w14:textId="77777777" w:rsidTr="007E5368">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590C6408" w14:textId="77777777" w:rsidR="009662A7" w:rsidRPr="000421E1" w:rsidRDefault="009662A7" w:rsidP="009662A7">
            <w:pPr>
              <w:pStyle w:val="NoSpacing"/>
              <w:rPr>
                <w:rFonts w:ascii="Arial" w:hAnsi="Arial" w:cs="Arial"/>
                <w:b w:val="0"/>
                <w:bCs w:val="0"/>
                <w:sz w:val="18"/>
                <w:szCs w:val="18"/>
              </w:rPr>
            </w:pPr>
            <w:r>
              <w:rPr>
                <w:rFonts w:ascii="Arial" w:hAnsi="Arial" w:cs="Arial"/>
                <w:b w:val="0"/>
                <w:sz w:val="18"/>
                <w:szCs w:val="18"/>
              </w:rPr>
              <w:t>Fresh pork</w:t>
            </w:r>
          </w:p>
        </w:tc>
        <w:tc>
          <w:tcPr>
            <w:tcW w:w="990" w:type="dxa"/>
            <w:gridSpan w:val="2"/>
          </w:tcPr>
          <w:p w14:paraId="4B665F2C" w14:textId="423A95B8" w:rsidR="009662A7" w:rsidRPr="000D0537" w:rsidRDefault="009662A7" w:rsidP="009662A7">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E84BC5">
              <w:rPr>
                <w:rFonts w:ascii="Arial" w:hAnsi="Arial" w:cs="Arial"/>
                <w:color w:val="auto"/>
                <w:sz w:val="18"/>
                <w:szCs w:val="18"/>
              </w:rPr>
              <w:t>$</w:t>
            </w:r>
            <w:r w:rsidR="00EE3400">
              <w:rPr>
                <w:rFonts w:ascii="Arial" w:hAnsi="Arial" w:cs="Arial"/>
                <w:color w:val="auto"/>
                <w:sz w:val="18"/>
                <w:szCs w:val="18"/>
              </w:rPr>
              <w:t>630</w:t>
            </w:r>
            <w:r w:rsidRPr="00E84BC5">
              <w:rPr>
                <w:rFonts w:ascii="Arial" w:hAnsi="Arial" w:cs="Arial"/>
                <w:color w:val="auto"/>
                <w:sz w:val="18"/>
                <w:szCs w:val="18"/>
              </w:rPr>
              <w:t>M</w:t>
            </w:r>
          </w:p>
        </w:tc>
        <w:tc>
          <w:tcPr>
            <w:tcW w:w="1075" w:type="dxa"/>
            <w:vAlign w:val="center"/>
          </w:tcPr>
          <w:p w14:paraId="315DF3C7" w14:textId="12904285" w:rsidR="009662A7" w:rsidRPr="000421E1" w:rsidRDefault="00EE3400" w:rsidP="009662A7">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color w:val="000000"/>
                <w:sz w:val="18"/>
                <w:szCs w:val="18"/>
              </w:rPr>
              <w:t>+0.9</w:t>
            </w:r>
            <w:r w:rsidR="009662A7" w:rsidRPr="00E03997">
              <w:rPr>
                <w:rFonts w:ascii="Arial" w:hAnsi="Arial" w:cs="Arial"/>
                <w:color w:val="000000"/>
                <w:sz w:val="18"/>
                <w:szCs w:val="18"/>
              </w:rPr>
              <w:t>%</w:t>
            </w:r>
          </w:p>
        </w:tc>
        <w:tc>
          <w:tcPr>
            <w:tcW w:w="1333" w:type="dxa"/>
          </w:tcPr>
          <w:p w14:paraId="7C5DD622" w14:textId="0A31AD93" w:rsidR="009662A7" w:rsidRPr="000421E1" w:rsidRDefault="009662A7" w:rsidP="009662A7">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6B7586">
              <w:rPr>
                <w:rFonts w:ascii="Arial" w:hAnsi="Arial" w:cs="Arial"/>
                <w:color w:val="000000"/>
                <w:sz w:val="18"/>
                <w:szCs w:val="18"/>
              </w:rPr>
              <w:t>-</w:t>
            </w:r>
            <w:r w:rsidR="00EE3400">
              <w:rPr>
                <w:rFonts w:ascii="Arial" w:hAnsi="Arial" w:cs="Arial"/>
                <w:color w:val="000000"/>
                <w:sz w:val="18"/>
                <w:szCs w:val="18"/>
              </w:rPr>
              <w:t>0.4</w:t>
            </w:r>
            <w:r w:rsidRPr="006B7586">
              <w:rPr>
                <w:rFonts w:ascii="Arial" w:hAnsi="Arial" w:cs="Arial"/>
                <w:color w:val="000000"/>
                <w:sz w:val="18"/>
                <w:szCs w:val="18"/>
              </w:rPr>
              <w:t>%</w:t>
            </w:r>
          </w:p>
        </w:tc>
        <w:tc>
          <w:tcPr>
            <w:tcW w:w="1732" w:type="dxa"/>
            <w:gridSpan w:val="2"/>
            <w:vAlign w:val="center"/>
          </w:tcPr>
          <w:p w14:paraId="36ECC313" w14:textId="1B76998C" w:rsidR="009662A7" w:rsidRPr="000421E1" w:rsidRDefault="009662A7" w:rsidP="009662A7">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0421E1">
              <w:rPr>
                <w:rFonts w:ascii="Arial" w:hAnsi="Arial" w:cs="Arial"/>
                <w:sz w:val="18"/>
                <w:szCs w:val="18"/>
              </w:rPr>
              <w:t>Fresh pork</w:t>
            </w:r>
          </w:p>
        </w:tc>
        <w:tc>
          <w:tcPr>
            <w:tcW w:w="1080" w:type="dxa"/>
          </w:tcPr>
          <w:p w14:paraId="340478F5" w14:textId="6690ADCC" w:rsidR="009662A7" w:rsidRPr="000421E1" w:rsidRDefault="009662A7" w:rsidP="009662A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A1778">
              <w:rPr>
                <w:rFonts w:ascii="Arial" w:hAnsi="Arial" w:cs="Arial"/>
                <w:color w:val="auto"/>
                <w:sz w:val="18"/>
                <w:szCs w:val="18"/>
              </w:rPr>
              <w:t>$</w:t>
            </w:r>
            <w:r w:rsidR="00EE3400">
              <w:rPr>
                <w:rFonts w:ascii="Arial" w:hAnsi="Arial" w:cs="Arial"/>
                <w:color w:val="auto"/>
                <w:sz w:val="18"/>
                <w:szCs w:val="18"/>
              </w:rPr>
              <w:t>8.8</w:t>
            </w:r>
            <w:r w:rsidRPr="002A1778">
              <w:rPr>
                <w:rFonts w:ascii="Arial" w:hAnsi="Arial" w:cs="Arial"/>
                <w:color w:val="auto"/>
                <w:sz w:val="18"/>
                <w:szCs w:val="18"/>
              </w:rPr>
              <w:t>B</w:t>
            </w:r>
          </w:p>
        </w:tc>
        <w:tc>
          <w:tcPr>
            <w:tcW w:w="1187" w:type="dxa"/>
          </w:tcPr>
          <w:p w14:paraId="2AA12CAA" w14:textId="4246800B" w:rsidR="009662A7" w:rsidRPr="000421E1" w:rsidRDefault="009662A7" w:rsidP="009662A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08C8">
              <w:rPr>
                <w:rFonts w:ascii="Arial" w:hAnsi="Arial" w:cs="Arial"/>
                <w:color w:val="000000"/>
                <w:sz w:val="18"/>
                <w:szCs w:val="18"/>
              </w:rPr>
              <w:t>+</w:t>
            </w:r>
            <w:r w:rsidR="00EE3400">
              <w:rPr>
                <w:rFonts w:ascii="Arial" w:hAnsi="Arial" w:cs="Arial"/>
                <w:color w:val="000000"/>
                <w:sz w:val="18"/>
                <w:szCs w:val="18"/>
              </w:rPr>
              <w:t>2.7</w:t>
            </w:r>
            <w:r w:rsidRPr="00B408C8">
              <w:rPr>
                <w:rFonts w:ascii="Arial" w:hAnsi="Arial" w:cs="Arial"/>
                <w:color w:val="000000"/>
                <w:sz w:val="18"/>
                <w:szCs w:val="18"/>
              </w:rPr>
              <w:t>%</w:t>
            </w:r>
          </w:p>
        </w:tc>
        <w:tc>
          <w:tcPr>
            <w:tcW w:w="1333" w:type="dxa"/>
          </w:tcPr>
          <w:p w14:paraId="043B518D" w14:textId="2BD10C09" w:rsidR="009662A7" w:rsidRPr="000421E1" w:rsidRDefault="009662A7" w:rsidP="009662A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361DA">
              <w:rPr>
                <w:rFonts w:ascii="Arial" w:hAnsi="Arial" w:cs="Arial"/>
                <w:color w:val="000000"/>
                <w:sz w:val="18"/>
                <w:szCs w:val="18"/>
              </w:rPr>
              <w:t>+</w:t>
            </w:r>
            <w:r w:rsidR="00EE3400">
              <w:rPr>
                <w:rFonts w:ascii="Arial" w:hAnsi="Arial" w:cs="Arial"/>
                <w:color w:val="000000"/>
                <w:sz w:val="18"/>
                <w:szCs w:val="18"/>
              </w:rPr>
              <w:t>0.7</w:t>
            </w:r>
            <w:r w:rsidRPr="009361DA">
              <w:rPr>
                <w:rFonts w:ascii="Arial" w:hAnsi="Arial" w:cs="Arial"/>
                <w:color w:val="000000"/>
                <w:sz w:val="18"/>
                <w:szCs w:val="18"/>
              </w:rPr>
              <w:t>%</w:t>
            </w:r>
          </w:p>
        </w:tc>
      </w:tr>
      <w:tr w:rsidR="009662A7" w:rsidRPr="002A3B9B" w14:paraId="2438D659" w14:textId="77777777" w:rsidTr="007E5368">
        <w:trPr>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53939752" w14:textId="0A35403E" w:rsidR="009662A7" w:rsidRPr="000421E1" w:rsidRDefault="009662A7" w:rsidP="009662A7">
            <w:pPr>
              <w:pStyle w:val="NoSpacing"/>
              <w:rPr>
                <w:rFonts w:ascii="Arial" w:hAnsi="Arial" w:cs="Arial"/>
                <w:b w:val="0"/>
                <w:bCs w:val="0"/>
                <w:sz w:val="18"/>
                <w:szCs w:val="18"/>
              </w:rPr>
            </w:pPr>
            <w:r>
              <w:rPr>
                <w:rFonts w:ascii="Arial" w:hAnsi="Arial" w:cs="Arial"/>
                <w:b w:val="0"/>
                <w:bCs w:val="0"/>
                <w:sz w:val="18"/>
                <w:szCs w:val="18"/>
              </w:rPr>
              <w:t>Fresh turkey</w:t>
            </w:r>
          </w:p>
        </w:tc>
        <w:tc>
          <w:tcPr>
            <w:tcW w:w="990" w:type="dxa"/>
            <w:gridSpan w:val="2"/>
          </w:tcPr>
          <w:p w14:paraId="6020F3E9" w14:textId="593250EA" w:rsidR="009662A7" w:rsidRPr="000D0537" w:rsidRDefault="009662A7" w:rsidP="009662A7">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E84BC5">
              <w:rPr>
                <w:rFonts w:ascii="Arial" w:hAnsi="Arial" w:cs="Arial"/>
                <w:color w:val="auto"/>
                <w:sz w:val="18"/>
                <w:szCs w:val="18"/>
              </w:rPr>
              <w:t>$</w:t>
            </w:r>
            <w:r w:rsidR="00EE3400">
              <w:rPr>
                <w:rFonts w:ascii="Arial" w:hAnsi="Arial" w:cs="Arial"/>
                <w:color w:val="auto"/>
                <w:sz w:val="18"/>
                <w:szCs w:val="18"/>
              </w:rPr>
              <w:t>211</w:t>
            </w:r>
            <w:r w:rsidRPr="00E84BC5">
              <w:rPr>
                <w:rFonts w:ascii="Arial" w:hAnsi="Arial" w:cs="Arial"/>
                <w:color w:val="auto"/>
                <w:sz w:val="18"/>
                <w:szCs w:val="18"/>
              </w:rPr>
              <w:t>M</w:t>
            </w:r>
          </w:p>
        </w:tc>
        <w:tc>
          <w:tcPr>
            <w:tcW w:w="1075" w:type="dxa"/>
            <w:vAlign w:val="center"/>
          </w:tcPr>
          <w:p w14:paraId="6B3A2AA7" w14:textId="55667F5D" w:rsidR="009662A7" w:rsidRPr="000421E1" w:rsidRDefault="009662A7" w:rsidP="009662A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E03997">
              <w:rPr>
                <w:rFonts w:ascii="Arial" w:hAnsi="Arial" w:cs="Arial"/>
                <w:color w:val="000000"/>
                <w:sz w:val="18"/>
                <w:szCs w:val="18"/>
              </w:rPr>
              <w:t>+</w:t>
            </w:r>
            <w:r w:rsidR="00EE3400">
              <w:rPr>
                <w:rFonts w:ascii="Arial" w:hAnsi="Arial" w:cs="Arial"/>
                <w:color w:val="000000"/>
                <w:sz w:val="18"/>
                <w:szCs w:val="18"/>
              </w:rPr>
              <w:t>9.0</w:t>
            </w:r>
            <w:r w:rsidRPr="00E03997">
              <w:rPr>
                <w:rFonts w:ascii="Arial" w:hAnsi="Arial" w:cs="Arial"/>
                <w:color w:val="000000"/>
                <w:sz w:val="18"/>
                <w:szCs w:val="18"/>
              </w:rPr>
              <w:t>%</w:t>
            </w:r>
          </w:p>
        </w:tc>
        <w:tc>
          <w:tcPr>
            <w:tcW w:w="1333" w:type="dxa"/>
          </w:tcPr>
          <w:p w14:paraId="31832FEC" w14:textId="6D68A74F" w:rsidR="009662A7" w:rsidRPr="000421E1" w:rsidRDefault="009662A7" w:rsidP="009662A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6B7586">
              <w:rPr>
                <w:rFonts w:ascii="Arial" w:hAnsi="Arial" w:cs="Arial"/>
                <w:color w:val="000000"/>
                <w:sz w:val="18"/>
                <w:szCs w:val="18"/>
              </w:rPr>
              <w:t>-</w:t>
            </w:r>
            <w:r w:rsidR="00EE3400">
              <w:rPr>
                <w:rFonts w:ascii="Arial" w:hAnsi="Arial" w:cs="Arial"/>
                <w:color w:val="000000"/>
                <w:sz w:val="18"/>
                <w:szCs w:val="18"/>
              </w:rPr>
              <w:t>7.3</w:t>
            </w:r>
            <w:r w:rsidRPr="006B7586">
              <w:rPr>
                <w:rFonts w:ascii="Arial" w:hAnsi="Arial" w:cs="Arial"/>
                <w:color w:val="000000"/>
                <w:sz w:val="18"/>
                <w:szCs w:val="18"/>
              </w:rPr>
              <w:t>%</w:t>
            </w:r>
          </w:p>
        </w:tc>
        <w:tc>
          <w:tcPr>
            <w:tcW w:w="1732" w:type="dxa"/>
            <w:gridSpan w:val="2"/>
            <w:vAlign w:val="center"/>
          </w:tcPr>
          <w:p w14:paraId="10D22FE7" w14:textId="16CF6849" w:rsidR="009662A7" w:rsidRPr="000421E1" w:rsidRDefault="009662A7" w:rsidP="009662A7">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0421E1">
              <w:rPr>
                <w:rFonts w:ascii="Arial" w:hAnsi="Arial" w:cs="Arial"/>
                <w:sz w:val="18"/>
                <w:szCs w:val="18"/>
              </w:rPr>
              <w:t xml:space="preserve">Fresh </w:t>
            </w:r>
            <w:r>
              <w:rPr>
                <w:rFonts w:ascii="Arial" w:hAnsi="Arial" w:cs="Arial"/>
                <w:sz w:val="18"/>
                <w:szCs w:val="18"/>
              </w:rPr>
              <w:t>turkey</w:t>
            </w:r>
          </w:p>
        </w:tc>
        <w:tc>
          <w:tcPr>
            <w:tcW w:w="1080" w:type="dxa"/>
          </w:tcPr>
          <w:p w14:paraId="6A84691D" w14:textId="214B8522" w:rsidR="009662A7" w:rsidRPr="000421E1" w:rsidRDefault="009662A7" w:rsidP="009662A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A1778">
              <w:rPr>
                <w:rFonts w:ascii="Arial" w:hAnsi="Arial" w:cs="Arial"/>
                <w:color w:val="auto"/>
                <w:sz w:val="18"/>
                <w:szCs w:val="18"/>
              </w:rPr>
              <w:t>$</w:t>
            </w:r>
            <w:r w:rsidR="00EE3400">
              <w:rPr>
                <w:rFonts w:ascii="Arial" w:hAnsi="Arial" w:cs="Arial"/>
                <w:color w:val="auto"/>
                <w:sz w:val="18"/>
                <w:szCs w:val="18"/>
              </w:rPr>
              <w:t>3.4</w:t>
            </w:r>
            <w:r w:rsidRPr="002A1778">
              <w:rPr>
                <w:rFonts w:ascii="Arial" w:hAnsi="Arial" w:cs="Arial"/>
                <w:color w:val="auto"/>
                <w:sz w:val="18"/>
                <w:szCs w:val="18"/>
              </w:rPr>
              <w:t>B</w:t>
            </w:r>
          </w:p>
        </w:tc>
        <w:tc>
          <w:tcPr>
            <w:tcW w:w="1187" w:type="dxa"/>
          </w:tcPr>
          <w:p w14:paraId="74C16036" w14:textId="3256430A" w:rsidR="009662A7" w:rsidRPr="000421E1" w:rsidRDefault="009662A7" w:rsidP="009662A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08C8">
              <w:rPr>
                <w:rFonts w:ascii="Arial" w:hAnsi="Arial" w:cs="Arial"/>
                <w:color w:val="000000"/>
                <w:sz w:val="18"/>
                <w:szCs w:val="18"/>
              </w:rPr>
              <w:t>+</w:t>
            </w:r>
            <w:r w:rsidR="00EE3400">
              <w:rPr>
                <w:rFonts w:ascii="Arial" w:hAnsi="Arial" w:cs="Arial"/>
                <w:color w:val="000000"/>
                <w:sz w:val="18"/>
                <w:szCs w:val="18"/>
              </w:rPr>
              <w:t>5.6</w:t>
            </w:r>
            <w:r w:rsidRPr="00B408C8">
              <w:rPr>
                <w:rFonts w:ascii="Arial" w:hAnsi="Arial" w:cs="Arial"/>
                <w:color w:val="000000"/>
                <w:sz w:val="18"/>
                <w:szCs w:val="18"/>
              </w:rPr>
              <w:t>%</w:t>
            </w:r>
          </w:p>
        </w:tc>
        <w:tc>
          <w:tcPr>
            <w:tcW w:w="1333" w:type="dxa"/>
          </w:tcPr>
          <w:p w14:paraId="39950049" w14:textId="5777A6E8" w:rsidR="009662A7" w:rsidRPr="000421E1" w:rsidRDefault="009662A7" w:rsidP="009662A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631EE">
              <w:rPr>
                <w:rFonts w:ascii="Arial" w:hAnsi="Arial" w:cs="Arial"/>
                <w:color w:val="000000"/>
                <w:sz w:val="18"/>
                <w:szCs w:val="18"/>
              </w:rPr>
              <w:t>-</w:t>
            </w:r>
            <w:r w:rsidR="00EE3400">
              <w:rPr>
                <w:rFonts w:ascii="Arial" w:hAnsi="Arial" w:cs="Arial"/>
                <w:color w:val="000000"/>
                <w:sz w:val="18"/>
                <w:szCs w:val="18"/>
              </w:rPr>
              <w:t>0.2</w:t>
            </w:r>
            <w:r w:rsidRPr="006631EE">
              <w:rPr>
                <w:rFonts w:ascii="Arial" w:hAnsi="Arial" w:cs="Arial"/>
                <w:color w:val="000000"/>
                <w:sz w:val="18"/>
                <w:szCs w:val="18"/>
              </w:rPr>
              <w:t>%</w:t>
            </w:r>
          </w:p>
        </w:tc>
      </w:tr>
      <w:tr w:rsidR="009662A7" w:rsidRPr="002A3B9B" w14:paraId="23202EFB" w14:textId="77777777" w:rsidTr="007E5368">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0ABB3F8F" w14:textId="21EF1412" w:rsidR="009662A7" w:rsidRPr="000421E1" w:rsidRDefault="009662A7" w:rsidP="009662A7">
            <w:pPr>
              <w:pStyle w:val="NoSpacing"/>
              <w:rPr>
                <w:rFonts w:ascii="Arial" w:hAnsi="Arial" w:cs="Arial"/>
                <w:b w:val="0"/>
                <w:bCs w:val="0"/>
                <w:sz w:val="18"/>
                <w:szCs w:val="18"/>
              </w:rPr>
            </w:pPr>
            <w:r w:rsidRPr="000421E1">
              <w:rPr>
                <w:rFonts w:ascii="Arial" w:hAnsi="Arial" w:cs="Arial"/>
                <w:b w:val="0"/>
                <w:sz w:val="18"/>
                <w:szCs w:val="18"/>
              </w:rPr>
              <w:t>Fresh lamb</w:t>
            </w:r>
          </w:p>
        </w:tc>
        <w:tc>
          <w:tcPr>
            <w:tcW w:w="990" w:type="dxa"/>
            <w:gridSpan w:val="2"/>
          </w:tcPr>
          <w:p w14:paraId="4C81F97C" w14:textId="7574ED6A" w:rsidR="009662A7" w:rsidRPr="000D0537" w:rsidRDefault="009662A7" w:rsidP="009662A7">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E84BC5">
              <w:rPr>
                <w:rFonts w:ascii="Arial" w:hAnsi="Arial" w:cs="Arial"/>
                <w:color w:val="auto"/>
                <w:sz w:val="18"/>
                <w:szCs w:val="18"/>
              </w:rPr>
              <w:t>$</w:t>
            </w:r>
            <w:r w:rsidR="00EE3400">
              <w:rPr>
                <w:rFonts w:ascii="Arial" w:hAnsi="Arial" w:cs="Arial"/>
                <w:color w:val="auto"/>
                <w:sz w:val="18"/>
                <w:szCs w:val="18"/>
              </w:rPr>
              <w:t>84</w:t>
            </w:r>
            <w:r w:rsidRPr="00E84BC5">
              <w:rPr>
                <w:rFonts w:ascii="Arial" w:hAnsi="Arial" w:cs="Arial"/>
                <w:color w:val="auto"/>
                <w:sz w:val="18"/>
                <w:szCs w:val="18"/>
              </w:rPr>
              <w:t>M</w:t>
            </w:r>
          </w:p>
        </w:tc>
        <w:tc>
          <w:tcPr>
            <w:tcW w:w="1075" w:type="dxa"/>
            <w:vAlign w:val="center"/>
          </w:tcPr>
          <w:p w14:paraId="314CEE27" w14:textId="3D28D607" w:rsidR="009662A7" w:rsidRPr="000421E1" w:rsidRDefault="009662A7" w:rsidP="009662A7">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316E07">
              <w:rPr>
                <w:rFonts w:ascii="Arial" w:hAnsi="Arial" w:cs="Arial"/>
                <w:color w:val="000000"/>
                <w:sz w:val="18"/>
                <w:szCs w:val="18"/>
              </w:rPr>
              <w:t>+</w:t>
            </w:r>
            <w:r w:rsidR="00EE3400">
              <w:rPr>
                <w:rFonts w:ascii="Arial" w:hAnsi="Arial" w:cs="Arial"/>
                <w:color w:val="000000"/>
                <w:sz w:val="18"/>
                <w:szCs w:val="18"/>
              </w:rPr>
              <w:t>10.3</w:t>
            </w:r>
            <w:r w:rsidRPr="00316E07">
              <w:rPr>
                <w:rFonts w:ascii="Arial" w:hAnsi="Arial" w:cs="Arial"/>
                <w:color w:val="000000"/>
                <w:sz w:val="18"/>
                <w:szCs w:val="18"/>
              </w:rPr>
              <w:t>%</w:t>
            </w:r>
          </w:p>
        </w:tc>
        <w:tc>
          <w:tcPr>
            <w:tcW w:w="1333" w:type="dxa"/>
          </w:tcPr>
          <w:p w14:paraId="6F591B6B" w14:textId="3DC8E9D6" w:rsidR="009662A7" w:rsidRPr="000421E1" w:rsidRDefault="009662A7" w:rsidP="009662A7">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D433DF">
              <w:rPr>
                <w:rFonts w:ascii="Arial" w:hAnsi="Arial" w:cs="Arial"/>
                <w:color w:val="000000"/>
                <w:sz w:val="18"/>
                <w:szCs w:val="18"/>
              </w:rPr>
              <w:t>-</w:t>
            </w:r>
            <w:r w:rsidR="00EE3400">
              <w:rPr>
                <w:rFonts w:ascii="Arial" w:hAnsi="Arial" w:cs="Arial"/>
                <w:color w:val="000000"/>
                <w:sz w:val="18"/>
                <w:szCs w:val="18"/>
              </w:rPr>
              <w:t>3.4</w:t>
            </w:r>
            <w:r w:rsidRPr="00D433DF">
              <w:rPr>
                <w:rFonts w:ascii="Arial" w:hAnsi="Arial" w:cs="Arial"/>
                <w:color w:val="000000"/>
                <w:sz w:val="18"/>
                <w:szCs w:val="18"/>
              </w:rPr>
              <w:t>%</w:t>
            </w:r>
          </w:p>
        </w:tc>
        <w:tc>
          <w:tcPr>
            <w:tcW w:w="1732" w:type="dxa"/>
            <w:gridSpan w:val="2"/>
            <w:vAlign w:val="center"/>
          </w:tcPr>
          <w:p w14:paraId="487DBC20" w14:textId="71D34C2D" w:rsidR="009662A7" w:rsidRPr="000421E1" w:rsidRDefault="009662A7" w:rsidP="009662A7">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0421E1">
              <w:rPr>
                <w:rFonts w:ascii="Arial" w:hAnsi="Arial" w:cs="Arial"/>
                <w:sz w:val="18"/>
                <w:szCs w:val="18"/>
              </w:rPr>
              <w:t>Fresh lamb</w:t>
            </w:r>
          </w:p>
        </w:tc>
        <w:tc>
          <w:tcPr>
            <w:tcW w:w="1080" w:type="dxa"/>
          </w:tcPr>
          <w:p w14:paraId="1AA6F2F7" w14:textId="55832E90" w:rsidR="009662A7" w:rsidRPr="000D0537" w:rsidRDefault="009662A7" w:rsidP="009662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476107">
              <w:rPr>
                <w:rFonts w:ascii="Arial" w:hAnsi="Arial" w:cs="Arial"/>
                <w:color w:val="auto"/>
                <w:sz w:val="18"/>
                <w:szCs w:val="18"/>
              </w:rPr>
              <w:t>$</w:t>
            </w:r>
            <w:r w:rsidR="00EE3400">
              <w:rPr>
                <w:rFonts w:ascii="Arial" w:hAnsi="Arial" w:cs="Arial"/>
                <w:color w:val="auto"/>
                <w:sz w:val="18"/>
                <w:szCs w:val="18"/>
              </w:rPr>
              <w:t>981</w:t>
            </w:r>
            <w:r w:rsidRPr="00476107">
              <w:rPr>
                <w:rFonts w:ascii="Arial" w:hAnsi="Arial" w:cs="Arial"/>
                <w:color w:val="auto"/>
                <w:sz w:val="18"/>
                <w:szCs w:val="18"/>
              </w:rPr>
              <w:t>M</w:t>
            </w:r>
          </w:p>
        </w:tc>
        <w:tc>
          <w:tcPr>
            <w:tcW w:w="1187" w:type="dxa"/>
          </w:tcPr>
          <w:p w14:paraId="11C3B152" w14:textId="690B952D" w:rsidR="009662A7" w:rsidRPr="000421E1" w:rsidRDefault="009662A7" w:rsidP="009662A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08C8">
              <w:rPr>
                <w:rFonts w:ascii="Arial" w:hAnsi="Arial" w:cs="Arial"/>
                <w:color w:val="000000"/>
                <w:sz w:val="18"/>
                <w:szCs w:val="18"/>
              </w:rPr>
              <w:t>+</w:t>
            </w:r>
            <w:r w:rsidR="00EE3400">
              <w:rPr>
                <w:rFonts w:ascii="Arial" w:hAnsi="Arial" w:cs="Arial"/>
                <w:color w:val="000000"/>
                <w:sz w:val="18"/>
                <w:szCs w:val="18"/>
              </w:rPr>
              <w:t>10.2</w:t>
            </w:r>
            <w:r w:rsidRPr="00B408C8">
              <w:rPr>
                <w:rFonts w:ascii="Arial" w:hAnsi="Arial" w:cs="Arial"/>
                <w:color w:val="000000"/>
                <w:sz w:val="18"/>
                <w:szCs w:val="18"/>
              </w:rPr>
              <w:t>%</w:t>
            </w:r>
          </w:p>
        </w:tc>
        <w:tc>
          <w:tcPr>
            <w:tcW w:w="1333" w:type="dxa"/>
          </w:tcPr>
          <w:p w14:paraId="1B764420" w14:textId="636392CD" w:rsidR="009662A7" w:rsidRPr="000421E1" w:rsidRDefault="009662A7" w:rsidP="009662A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631EE">
              <w:rPr>
                <w:rFonts w:ascii="Arial" w:hAnsi="Arial" w:cs="Arial"/>
                <w:color w:val="000000"/>
                <w:sz w:val="18"/>
                <w:szCs w:val="18"/>
              </w:rPr>
              <w:t>-</w:t>
            </w:r>
            <w:r w:rsidR="00EE3400">
              <w:rPr>
                <w:rFonts w:ascii="Arial" w:hAnsi="Arial" w:cs="Arial"/>
                <w:color w:val="000000"/>
                <w:sz w:val="18"/>
                <w:szCs w:val="18"/>
              </w:rPr>
              <w:t>0.4</w:t>
            </w:r>
            <w:r w:rsidRPr="006631EE">
              <w:rPr>
                <w:rFonts w:ascii="Arial" w:hAnsi="Arial" w:cs="Arial"/>
                <w:color w:val="000000"/>
                <w:sz w:val="18"/>
                <w:szCs w:val="18"/>
              </w:rPr>
              <w:t>%</w:t>
            </w:r>
          </w:p>
        </w:tc>
      </w:tr>
      <w:tr w:rsidR="009662A7" w:rsidRPr="002A3B9B" w14:paraId="0E93CA3A" w14:textId="77777777" w:rsidTr="007E5368">
        <w:trPr>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24B7253B" w14:textId="4C388222" w:rsidR="009662A7" w:rsidRPr="000421E1" w:rsidRDefault="009662A7" w:rsidP="009662A7">
            <w:pPr>
              <w:pStyle w:val="NoSpacing"/>
              <w:rPr>
                <w:rFonts w:ascii="Arial" w:hAnsi="Arial" w:cs="Arial"/>
                <w:b w:val="0"/>
                <w:bCs w:val="0"/>
                <w:sz w:val="18"/>
                <w:szCs w:val="18"/>
              </w:rPr>
            </w:pPr>
            <w:r w:rsidRPr="000421E1">
              <w:rPr>
                <w:rFonts w:ascii="Arial" w:hAnsi="Arial" w:cs="Arial"/>
                <w:b w:val="0"/>
                <w:bCs w:val="0"/>
                <w:sz w:val="18"/>
                <w:szCs w:val="18"/>
              </w:rPr>
              <w:t>Fresh exotic</w:t>
            </w:r>
          </w:p>
        </w:tc>
        <w:tc>
          <w:tcPr>
            <w:tcW w:w="990" w:type="dxa"/>
            <w:gridSpan w:val="2"/>
          </w:tcPr>
          <w:p w14:paraId="211C1E4E" w14:textId="1D60C236" w:rsidR="009662A7" w:rsidRPr="000D0537" w:rsidRDefault="009662A7" w:rsidP="009662A7">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E84BC5">
              <w:rPr>
                <w:rFonts w:ascii="Arial" w:hAnsi="Arial" w:cs="Arial"/>
                <w:color w:val="auto"/>
                <w:sz w:val="18"/>
                <w:szCs w:val="18"/>
              </w:rPr>
              <w:t>$</w:t>
            </w:r>
            <w:r w:rsidR="00EE3400">
              <w:rPr>
                <w:rFonts w:ascii="Arial" w:hAnsi="Arial" w:cs="Arial"/>
                <w:color w:val="auto"/>
                <w:sz w:val="18"/>
                <w:szCs w:val="18"/>
              </w:rPr>
              <w:t>17</w:t>
            </w:r>
            <w:r w:rsidRPr="00E84BC5">
              <w:rPr>
                <w:rFonts w:ascii="Arial" w:hAnsi="Arial" w:cs="Arial"/>
                <w:color w:val="auto"/>
                <w:sz w:val="18"/>
                <w:szCs w:val="18"/>
              </w:rPr>
              <w:t>M</w:t>
            </w:r>
          </w:p>
        </w:tc>
        <w:tc>
          <w:tcPr>
            <w:tcW w:w="1075" w:type="dxa"/>
            <w:vAlign w:val="center"/>
          </w:tcPr>
          <w:p w14:paraId="4EC34FF5" w14:textId="6ECE1F15" w:rsidR="009662A7" w:rsidRPr="000421E1" w:rsidRDefault="009662A7" w:rsidP="009662A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316E07">
              <w:rPr>
                <w:rFonts w:ascii="Arial" w:hAnsi="Arial" w:cs="Arial"/>
                <w:color w:val="000000"/>
                <w:sz w:val="18"/>
                <w:szCs w:val="18"/>
              </w:rPr>
              <w:t>+</w:t>
            </w:r>
            <w:r w:rsidR="00EE3400">
              <w:rPr>
                <w:rFonts w:ascii="Arial" w:hAnsi="Arial" w:cs="Arial"/>
                <w:color w:val="000000"/>
                <w:sz w:val="18"/>
                <w:szCs w:val="18"/>
              </w:rPr>
              <w:t>4.1</w:t>
            </w:r>
            <w:r w:rsidRPr="00316E07">
              <w:rPr>
                <w:rFonts w:ascii="Arial" w:hAnsi="Arial" w:cs="Arial"/>
                <w:color w:val="000000"/>
                <w:sz w:val="18"/>
                <w:szCs w:val="18"/>
              </w:rPr>
              <w:t>%</w:t>
            </w:r>
          </w:p>
        </w:tc>
        <w:tc>
          <w:tcPr>
            <w:tcW w:w="1333" w:type="dxa"/>
          </w:tcPr>
          <w:p w14:paraId="35DF37A1" w14:textId="611B1C10" w:rsidR="009662A7" w:rsidRPr="000421E1" w:rsidRDefault="009662A7" w:rsidP="009662A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433DF">
              <w:rPr>
                <w:rFonts w:ascii="Arial" w:hAnsi="Arial" w:cs="Arial"/>
                <w:color w:val="000000"/>
                <w:sz w:val="18"/>
                <w:szCs w:val="18"/>
              </w:rPr>
              <w:t>-</w:t>
            </w:r>
            <w:r w:rsidR="00EE3400">
              <w:rPr>
                <w:rFonts w:ascii="Arial" w:hAnsi="Arial" w:cs="Arial"/>
                <w:color w:val="000000"/>
                <w:sz w:val="18"/>
                <w:szCs w:val="18"/>
              </w:rPr>
              <w:t>9.4</w:t>
            </w:r>
            <w:r w:rsidRPr="00D433DF">
              <w:rPr>
                <w:rFonts w:ascii="Arial" w:hAnsi="Arial" w:cs="Arial"/>
                <w:color w:val="000000"/>
                <w:sz w:val="18"/>
                <w:szCs w:val="18"/>
              </w:rPr>
              <w:t>%</w:t>
            </w:r>
          </w:p>
        </w:tc>
        <w:tc>
          <w:tcPr>
            <w:tcW w:w="1732" w:type="dxa"/>
            <w:gridSpan w:val="2"/>
            <w:vAlign w:val="center"/>
          </w:tcPr>
          <w:p w14:paraId="4F65FC38" w14:textId="7028D4B1" w:rsidR="009662A7" w:rsidRPr="000421E1" w:rsidRDefault="009662A7" w:rsidP="009662A7">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0421E1">
              <w:rPr>
                <w:rFonts w:ascii="Arial" w:hAnsi="Arial" w:cs="Arial"/>
                <w:sz w:val="18"/>
                <w:szCs w:val="18"/>
              </w:rPr>
              <w:t>Fresh exotic</w:t>
            </w:r>
          </w:p>
        </w:tc>
        <w:tc>
          <w:tcPr>
            <w:tcW w:w="1080" w:type="dxa"/>
          </w:tcPr>
          <w:p w14:paraId="1689DD4B" w14:textId="3435E58B" w:rsidR="009662A7" w:rsidRPr="000D0537" w:rsidRDefault="009662A7" w:rsidP="009662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476107">
              <w:rPr>
                <w:rFonts w:ascii="Arial" w:hAnsi="Arial" w:cs="Arial"/>
                <w:color w:val="auto"/>
                <w:sz w:val="18"/>
                <w:szCs w:val="18"/>
              </w:rPr>
              <w:t>$</w:t>
            </w:r>
            <w:r w:rsidR="00EE3400">
              <w:rPr>
                <w:rFonts w:ascii="Arial" w:hAnsi="Arial" w:cs="Arial"/>
                <w:color w:val="auto"/>
                <w:sz w:val="18"/>
                <w:szCs w:val="18"/>
              </w:rPr>
              <w:t>222</w:t>
            </w:r>
            <w:r w:rsidRPr="00476107">
              <w:rPr>
                <w:rFonts w:ascii="Arial" w:hAnsi="Arial" w:cs="Arial"/>
                <w:color w:val="auto"/>
                <w:sz w:val="18"/>
                <w:szCs w:val="18"/>
              </w:rPr>
              <w:t>M</w:t>
            </w:r>
          </w:p>
        </w:tc>
        <w:tc>
          <w:tcPr>
            <w:tcW w:w="1187" w:type="dxa"/>
          </w:tcPr>
          <w:p w14:paraId="41FB3DC5" w14:textId="4969332E" w:rsidR="009662A7" w:rsidRPr="000421E1" w:rsidRDefault="00EE3400" w:rsidP="009662A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color w:val="000000"/>
                <w:sz w:val="18"/>
                <w:szCs w:val="18"/>
              </w:rPr>
              <w:t>+0.3</w:t>
            </w:r>
            <w:r w:rsidR="009662A7" w:rsidRPr="007069F9">
              <w:rPr>
                <w:rFonts w:ascii="Arial" w:hAnsi="Arial" w:cs="Arial"/>
                <w:color w:val="000000"/>
                <w:sz w:val="18"/>
                <w:szCs w:val="18"/>
              </w:rPr>
              <w:t>%</w:t>
            </w:r>
          </w:p>
        </w:tc>
        <w:tc>
          <w:tcPr>
            <w:tcW w:w="1333" w:type="dxa"/>
          </w:tcPr>
          <w:p w14:paraId="5E7D78E5" w14:textId="4A2F4FBD" w:rsidR="009662A7" w:rsidRPr="000421E1" w:rsidRDefault="009662A7" w:rsidP="009662A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631EE">
              <w:rPr>
                <w:rFonts w:ascii="Arial" w:hAnsi="Arial" w:cs="Arial"/>
                <w:color w:val="000000"/>
                <w:sz w:val="18"/>
                <w:szCs w:val="18"/>
              </w:rPr>
              <w:t>-</w:t>
            </w:r>
            <w:r w:rsidR="00EE3400">
              <w:rPr>
                <w:rFonts w:ascii="Arial" w:hAnsi="Arial" w:cs="Arial"/>
                <w:color w:val="000000"/>
                <w:sz w:val="18"/>
                <w:szCs w:val="18"/>
              </w:rPr>
              <w:t>3.0</w:t>
            </w:r>
            <w:r w:rsidRPr="006631EE">
              <w:rPr>
                <w:rFonts w:ascii="Arial" w:hAnsi="Arial" w:cs="Arial"/>
                <w:color w:val="000000"/>
                <w:sz w:val="18"/>
                <w:szCs w:val="18"/>
              </w:rPr>
              <w:t>%</w:t>
            </w:r>
          </w:p>
        </w:tc>
      </w:tr>
      <w:tr w:rsidR="009662A7" w:rsidRPr="002A3B9B" w14:paraId="7076EB95" w14:textId="77777777" w:rsidTr="007E5368">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56C1CF29" w14:textId="280E2EC9" w:rsidR="009662A7" w:rsidRPr="000421E1" w:rsidRDefault="009662A7" w:rsidP="009662A7">
            <w:pPr>
              <w:pStyle w:val="NoSpacing"/>
              <w:rPr>
                <w:rFonts w:ascii="Arial" w:hAnsi="Arial" w:cs="Arial"/>
                <w:b w:val="0"/>
                <w:bCs w:val="0"/>
                <w:sz w:val="18"/>
                <w:szCs w:val="18"/>
              </w:rPr>
            </w:pPr>
            <w:r w:rsidRPr="000421E1">
              <w:rPr>
                <w:rFonts w:ascii="Arial" w:hAnsi="Arial" w:cs="Arial"/>
                <w:b w:val="0"/>
                <w:bCs w:val="0"/>
                <w:sz w:val="18"/>
                <w:szCs w:val="18"/>
              </w:rPr>
              <w:t>Veal</w:t>
            </w:r>
          </w:p>
        </w:tc>
        <w:tc>
          <w:tcPr>
            <w:tcW w:w="990" w:type="dxa"/>
            <w:gridSpan w:val="2"/>
          </w:tcPr>
          <w:p w14:paraId="64354BA8" w14:textId="4716A1C5" w:rsidR="009662A7" w:rsidRPr="000D0537" w:rsidRDefault="009662A7" w:rsidP="009662A7">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E84BC5">
              <w:rPr>
                <w:rFonts w:ascii="Arial" w:hAnsi="Arial" w:cs="Arial"/>
                <w:color w:val="auto"/>
                <w:sz w:val="18"/>
                <w:szCs w:val="18"/>
              </w:rPr>
              <w:t>$</w:t>
            </w:r>
            <w:r w:rsidR="00EE3400">
              <w:rPr>
                <w:rFonts w:ascii="Arial" w:hAnsi="Arial" w:cs="Arial"/>
                <w:color w:val="auto"/>
                <w:sz w:val="18"/>
                <w:szCs w:val="18"/>
              </w:rPr>
              <w:t>2.8</w:t>
            </w:r>
            <w:r w:rsidRPr="00E84BC5">
              <w:rPr>
                <w:rFonts w:ascii="Arial" w:hAnsi="Arial" w:cs="Arial"/>
                <w:color w:val="auto"/>
                <w:sz w:val="18"/>
                <w:szCs w:val="18"/>
              </w:rPr>
              <w:t>M</w:t>
            </w:r>
          </w:p>
        </w:tc>
        <w:tc>
          <w:tcPr>
            <w:tcW w:w="1075" w:type="dxa"/>
            <w:vAlign w:val="center"/>
          </w:tcPr>
          <w:p w14:paraId="6BA45E38" w14:textId="23B49F88" w:rsidR="009662A7" w:rsidRPr="000421E1" w:rsidRDefault="009662A7" w:rsidP="009662A7">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color w:val="000000"/>
                <w:sz w:val="18"/>
                <w:szCs w:val="18"/>
              </w:rPr>
              <w:t>-</w:t>
            </w:r>
            <w:r w:rsidR="00EE3400">
              <w:rPr>
                <w:rFonts w:ascii="Arial" w:hAnsi="Arial" w:cs="Arial"/>
                <w:color w:val="000000"/>
                <w:sz w:val="18"/>
                <w:szCs w:val="18"/>
              </w:rPr>
              <w:t>15.4</w:t>
            </w:r>
            <w:r w:rsidRPr="00316E07">
              <w:rPr>
                <w:rFonts w:ascii="Arial" w:hAnsi="Arial" w:cs="Arial"/>
                <w:color w:val="000000"/>
                <w:sz w:val="18"/>
                <w:szCs w:val="18"/>
              </w:rPr>
              <w:t>%</w:t>
            </w:r>
          </w:p>
        </w:tc>
        <w:tc>
          <w:tcPr>
            <w:tcW w:w="1333" w:type="dxa"/>
          </w:tcPr>
          <w:p w14:paraId="1BBF83A8" w14:textId="2332FC3F" w:rsidR="009662A7" w:rsidRPr="000421E1" w:rsidRDefault="009662A7" w:rsidP="009662A7">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D433DF">
              <w:rPr>
                <w:rFonts w:ascii="Arial" w:hAnsi="Arial" w:cs="Arial"/>
                <w:color w:val="000000"/>
                <w:sz w:val="18"/>
                <w:szCs w:val="18"/>
              </w:rPr>
              <w:t>-</w:t>
            </w:r>
            <w:r w:rsidR="00EE3400">
              <w:rPr>
                <w:rFonts w:ascii="Arial" w:hAnsi="Arial" w:cs="Arial"/>
                <w:color w:val="000000"/>
                <w:sz w:val="18"/>
                <w:szCs w:val="18"/>
              </w:rPr>
              <w:t>7.7</w:t>
            </w:r>
            <w:r w:rsidRPr="00D433DF">
              <w:rPr>
                <w:rFonts w:ascii="Arial" w:hAnsi="Arial" w:cs="Arial"/>
                <w:color w:val="000000"/>
                <w:sz w:val="18"/>
                <w:szCs w:val="18"/>
              </w:rPr>
              <w:t>%</w:t>
            </w:r>
          </w:p>
        </w:tc>
        <w:tc>
          <w:tcPr>
            <w:tcW w:w="1732" w:type="dxa"/>
            <w:gridSpan w:val="2"/>
            <w:vAlign w:val="center"/>
          </w:tcPr>
          <w:p w14:paraId="1D2A7A82" w14:textId="333513C0" w:rsidR="009662A7" w:rsidRPr="000421E1" w:rsidRDefault="009662A7" w:rsidP="009662A7">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0421E1">
              <w:rPr>
                <w:rFonts w:ascii="Arial" w:hAnsi="Arial" w:cs="Arial"/>
                <w:sz w:val="18"/>
                <w:szCs w:val="18"/>
              </w:rPr>
              <w:t>Veal</w:t>
            </w:r>
          </w:p>
        </w:tc>
        <w:tc>
          <w:tcPr>
            <w:tcW w:w="1080" w:type="dxa"/>
          </w:tcPr>
          <w:p w14:paraId="01AA82BB" w14:textId="65386A87" w:rsidR="009662A7" w:rsidRPr="000D0537" w:rsidRDefault="009662A7" w:rsidP="009662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476107">
              <w:rPr>
                <w:rFonts w:ascii="Arial" w:hAnsi="Arial" w:cs="Arial"/>
                <w:color w:val="auto"/>
                <w:sz w:val="18"/>
                <w:szCs w:val="18"/>
              </w:rPr>
              <w:t>$</w:t>
            </w:r>
            <w:r w:rsidR="00EE3400">
              <w:rPr>
                <w:rFonts w:ascii="Arial" w:hAnsi="Arial" w:cs="Arial"/>
                <w:color w:val="auto"/>
                <w:sz w:val="18"/>
                <w:szCs w:val="18"/>
              </w:rPr>
              <w:t>42</w:t>
            </w:r>
            <w:r w:rsidRPr="00476107">
              <w:rPr>
                <w:rFonts w:ascii="Arial" w:hAnsi="Arial" w:cs="Arial"/>
                <w:color w:val="auto"/>
                <w:sz w:val="18"/>
                <w:szCs w:val="18"/>
              </w:rPr>
              <w:t>M</w:t>
            </w:r>
          </w:p>
        </w:tc>
        <w:tc>
          <w:tcPr>
            <w:tcW w:w="1187" w:type="dxa"/>
          </w:tcPr>
          <w:p w14:paraId="0565E793" w14:textId="36D4836F" w:rsidR="009662A7" w:rsidRPr="000421E1" w:rsidRDefault="009662A7" w:rsidP="009662A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69F9">
              <w:rPr>
                <w:rFonts w:ascii="Arial" w:hAnsi="Arial" w:cs="Arial"/>
                <w:color w:val="000000"/>
                <w:sz w:val="18"/>
                <w:szCs w:val="18"/>
              </w:rPr>
              <w:t>-</w:t>
            </w:r>
            <w:r w:rsidR="00EE3400">
              <w:rPr>
                <w:rFonts w:ascii="Arial" w:hAnsi="Arial" w:cs="Arial"/>
                <w:color w:val="000000"/>
                <w:sz w:val="18"/>
                <w:szCs w:val="18"/>
              </w:rPr>
              <w:t>3.6</w:t>
            </w:r>
            <w:r w:rsidRPr="007069F9">
              <w:rPr>
                <w:rFonts w:ascii="Arial" w:hAnsi="Arial" w:cs="Arial"/>
                <w:color w:val="000000"/>
                <w:sz w:val="18"/>
                <w:szCs w:val="18"/>
              </w:rPr>
              <w:t>%</w:t>
            </w:r>
          </w:p>
        </w:tc>
        <w:tc>
          <w:tcPr>
            <w:tcW w:w="1333" w:type="dxa"/>
          </w:tcPr>
          <w:p w14:paraId="3171A941" w14:textId="1D954F8E" w:rsidR="009662A7" w:rsidRPr="000421E1" w:rsidRDefault="00EE3400" w:rsidP="009662A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color w:val="000000"/>
                <w:sz w:val="18"/>
                <w:szCs w:val="18"/>
              </w:rPr>
              <w:t>-0.1</w:t>
            </w:r>
            <w:r w:rsidR="009662A7" w:rsidRPr="006631EE">
              <w:rPr>
                <w:rFonts w:ascii="Arial" w:hAnsi="Arial" w:cs="Arial"/>
                <w:color w:val="000000"/>
                <w:sz w:val="18"/>
                <w:szCs w:val="18"/>
              </w:rPr>
              <w:t>%</w:t>
            </w:r>
          </w:p>
        </w:tc>
      </w:tr>
      <w:bookmarkEnd w:id="8"/>
    </w:tbl>
    <w:p w14:paraId="2031E023" w14:textId="2AE135AC" w:rsidR="005E4F84" w:rsidRPr="002E1C0B" w:rsidRDefault="005E4F84" w:rsidP="00525982">
      <w:pPr>
        <w:pStyle w:val="NoSpacing"/>
        <w:rPr>
          <w:rFonts w:ascii="Arial" w:hAnsi="Arial" w:cs="Arial"/>
          <w:sz w:val="6"/>
          <w:szCs w:val="10"/>
        </w:rPr>
      </w:pPr>
    </w:p>
    <w:p w14:paraId="739A63C7" w14:textId="155B1A40" w:rsidR="006A3676" w:rsidRDefault="005E4F84" w:rsidP="00A13AC1">
      <w:pPr>
        <w:pStyle w:val="NoSpacing"/>
        <w:rPr>
          <w:rFonts w:ascii="Arial" w:hAnsi="Arial" w:cs="Arial"/>
          <w:color w:val="7F7F7F" w:themeColor="text1" w:themeTint="80"/>
          <w:sz w:val="16"/>
          <w:szCs w:val="16"/>
        </w:rPr>
      </w:pPr>
      <w:r w:rsidRPr="00E54A99">
        <w:rPr>
          <w:rFonts w:ascii="Arial" w:hAnsi="Arial" w:cs="Arial"/>
          <w:color w:val="7F7F7F" w:themeColor="text1" w:themeTint="80"/>
          <w:sz w:val="16"/>
          <w:szCs w:val="16"/>
        </w:rPr>
        <w:t xml:space="preserve">Source: </w:t>
      </w:r>
      <w:r w:rsidR="00FB48FE" w:rsidRPr="00E54A99">
        <w:rPr>
          <w:rFonts w:ascii="Arial" w:hAnsi="Arial" w:cs="Arial"/>
          <w:color w:val="7F7F7F" w:themeColor="text1" w:themeTint="80"/>
          <w:sz w:val="16"/>
          <w:szCs w:val="16"/>
        </w:rPr>
        <w:t>Circana</w:t>
      </w:r>
      <w:r w:rsidRPr="00E54A99">
        <w:rPr>
          <w:rFonts w:ascii="Arial" w:hAnsi="Arial" w:cs="Arial"/>
          <w:color w:val="7F7F7F" w:themeColor="text1" w:themeTint="80"/>
          <w:sz w:val="16"/>
          <w:szCs w:val="16"/>
        </w:rPr>
        <w:t xml:space="preserve">, Integrated Fresh, </w:t>
      </w:r>
      <w:r w:rsidR="00D85BA4">
        <w:rPr>
          <w:rFonts w:ascii="Arial" w:hAnsi="Arial" w:cs="Arial"/>
          <w:color w:val="7F7F7F" w:themeColor="text1" w:themeTint="80"/>
          <w:sz w:val="16"/>
          <w:szCs w:val="16"/>
        </w:rPr>
        <w:t>MULO+</w:t>
      </w:r>
      <w:bookmarkEnd w:id="7"/>
    </w:p>
    <w:p w14:paraId="62A5F3D1" w14:textId="7173A599" w:rsidR="00BE1DDD" w:rsidRDefault="00BE1DDD" w:rsidP="00A13AC1">
      <w:pPr>
        <w:pStyle w:val="NoSpacing"/>
        <w:rPr>
          <w:rFonts w:ascii="Arial" w:hAnsi="Arial" w:cs="Arial"/>
          <w:color w:val="000000" w:themeColor="text1"/>
          <w:sz w:val="20"/>
          <w:szCs w:val="20"/>
        </w:rPr>
      </w:pPr>
    </w:p>
    <w:p w14:paraId="4F9768B6" w14:textId="7DBCC2F8" w:rsidR="00E57D76" w:rsidRPr="006879B2" w:rsidRDefault="00E57D76" w:rsidP="005C43DB">
      <w:pPr>
        <w:spacing w:after="0"/>
        <w:rPr>
          <w:rFonts w:ascii="Arial" w:hAnsi="Arial" w:cs="Arial"/>
          <w:b/>
          <w:color w:val="595959" w:themeColor="text1" w:themeTint="A6"/>
          <w:sz w:val="24"/>
          <w:szCs w:val="24"/>
        </w:rPr>
      </w:pPr>
      <w:bookmarkStart w:id="9" w:name="_Hlk197678897"/>
      <w:r>
        <w:rPr>
          <w:rFonts w:ascii="Arial" w:hAnsi="Arial" w:cs="Arial"/>
          <w:b/>
          <w:color w:val="595959" w:themeColor="text1" w:themeTint="A6"/>
          <w:sz w:val="24"/>
          <w:szCs w:val="24"/>
        </w:rPr>
        <w:t xml:space="preserve">Processed </w:t>
      </w:r>
      <w:r w:rsidRPr="006879B2">
        <w:rPr>
          <w:rFonts w:ascii="Arial" w:hAnsi="Arial" w:cs="Arial"/>
          <w:b/>
          <w:color w:val="595959" w:themeColor="text1" w:themeTint="A6"/>
          <w:sz w:val="24"/>
          <w:szCs w:val="24"/>
        </w:rPr>
        <w:t xml:space="preserve">Meat </w:t>
      </w:r>
    </w:p>
    <w:p w14:paraId="7593DF09" w14:textId="0D8DE2FE" w:rsidR="00DC198C" w:rsidRDefault="00A1598F" w:rsidP="00D5564A">
      <w:pPr>
        <w:pStyle w:val="NoSpacing"/>
        <w:rPr>
          <w:rFonts w:ascii="Arial" w:hAnsi="Arial" w:cs="Arial"/>
          <w:sz w:val="20"/>
          <w:szCs w:val="20"/>
        </w:rPr>
      </w:pPr>
      <w:r w:rsidRPr="00A1598F">
        <w:rPr>
          <w:rFonts w:ascii="Arial" w:hAnsi="Arial" w:cs="Arial"/>
          <w:sz w:val="20"/>
          <w:szCs w:val="20"/>
        </w:rPr>
        <w:t>The earlier Easter helped boost smoked ham sales in March, with dollars up 50% year over year and pounds more than doubling. This will likely normalize when compared against Easter 2025, which fell on April 20. Other processed meats had a more mixed month: bacon and dinner sausage volumes dipped slightly below year-ago levels, while packaged lunchmeat continued to struggle. In contrast, breakfast sausage sales accelerated, with volume up 5.6% year over year.</w:t>
      </w:r>
    </w:p>
    <w:p w14:paraId="10D709AE" w14:textId="77777777" w:rsidR="00A1598F" w:rsidRPr="004A5E43" w:rsidRDefault="00A1598F" w:rsidP="00D5564A">
      <w:pPr>
        <w:pStyle w:val="NoSpacing"/>
        <w:rPr>
          <w:rFonts w:ascii="Arial" w:hAnsi="Arial" w:cs="Arial"/>
          <w:sz w:val="20"/>
          <w:szCs w:val="20"/>
        </w:rPr>
      </w:pPr>
    </w:p>
    <w:tbl>
      <w:tblPr>
        <w:tblStyle w:val="ListTable2"/>
        <w:tblW w:w="10535" w:type="dxa"/>
        <w:tblLayout w:type="fixed"/>
        <w:tblLook w:val="04A0" w:firstRow="1" w:lastRow="0" w:firstColumn="1" w:lastColumn="0" w:noHBand="0" w:noVBand="1"/>
      </w:tblPr>
      <w:tblGrid>
        <w:gridCol w:w="1979"/>
        <w:gridCol w:w="995"/>
        <w:gridCol w:w="1085"/>
        <w:gridCol w:w="441"/>
        <w:gridCol w:w="706"/>
        <w:gridCol w:w="1906"/>
        <w:gridCol w:w="628"/>
        <w:gridCol w:w="362"/>
        <w:gridCol w:w="1078"/>
        <w:gridCol w:w="1355"/>
      </w:tblGrid>
      <w:tr w:rsidR="00FA10C6" w:rsidRPr="0003007F" w14:paraId="0D89C9E1" w14:textId="77777777" w:rsidTr="00666164">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979" w:type="dxa"/>
            <w:shd w:val="clear" w:color="auto" w:fill="17365D"/>
          </w:tcPr>
          <w:p w14:paraId="5101D5CC" w14:textId="77777777" w:rsidR="00FA10C6" w:rsidRPr="00AB1306" w:rsidRDefault="00FA10C6" w:rsidP="00D07BDF">
            <w:pPr>
              <w:pStyle w:val="NoSpacing"/>
              <w:rPr>
                <w:rFonts w:ascii="Arial" w:hAnsi="Arial" w:cs="Arial"/>
                <w:color w:val="FFFFFF" w:themeColor="background1"/>
                <w:sz w:val="18"/>
                <w:szCs w:val="18"/>
              </w:rPr>
            </w:pPr>
            <w:r>
              <w:lastRenderedPageBreak/>
              <w:br w:type="page"/>
            </w:r>
          </w:p>
        </w:tc>
        <w:tc>
          <w:tcPr>
            <w:tcW w:w="2521" w:type="dxa"/>
            <w:gridSpan w:val="3"/>
            <w:shd w:val="clear" w:color="auto" w:fill="17365D"/>
          </w:tcPr>
          <w:p w14:paraId="4E73E0BB" w14:textId="13E9B68B" w:rsidR="00FA10C6" w:rsidRPr="00AB1306" w:rsidRDefault="00193E59" w:rsidP="00D07BDF">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March</w:t>
            </w:r>
            <w:r w:rsidR="00C33171">
              <w:rPr>
                <w:rFonts w:ascii="Arial" w:hAnsi="Arial" w:cs="Arial"/>
                <w:color w:val="FFFFFF" w:themeColor="background1"/>
                <w:sz w:val="18"/>
                <w:szCs w:val="18"/>
              </w:rPr>
              <w:t xml:space="preserve"> 2026</w:t>
            </w:r>
          </w:p>
        </w:tc>
        <w:tc>
          <w:tcPr>
            <w:tcW w:w="3240" w:type="dxa"/>
            <w:gridSpan w:val="3"/>
            <w:shd w:val="clear" w:color="auto" w:fill="17365D"/>
          </w:tcPr>
          <w:p w14:paraId="4E8135CE" w14:textId="77777777" w:rsidR="00FA10C6" w:rsidRPr="00F515F4" w:rsidRDefault="00FA10C6" w:rsidP="00D07BDF">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
        </w:tc>
        <w:tc>
          <w:tcPr>
            <w:tcW w:w="2795" w:type="dxa"/>
            <w:gridSpan w:val="3"/>
            <w:shd w:val="clear" w:color="auto" w:fill="17365D"/>
          </w:tcPr>
          <w:p w14:paraId="4DFA11CD" w14:textId="26F7F962" w:rsidR="00FA10C6" w:rsidRPr="0003007F" w:rsidRDefault="000D7CB9" w:rsidP="00D07BDF">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FA10C6" w:rsidRPr="002A3B9B" w14:paraId="5BE30CD1" w14:textId="77777777" w:rsidTr="00ED4D2A">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979" w:type="dxa"/>
            <w:shd w:val="clear" w:color="auto" w:fill="17365D"/>
          </w:tcPr>
          <w:p w14:paraId="7A127F7F" w14:textId="77777777" w:rsidR="00FA10C6" w:rsidRPr="002A3B9B" w:rsidRDefault="00FA10C6" w:rsidP="00D07BDF">
            <w:pPr>
              <w:pStyle w:val="NoSpacing"/>
              <w:rPr>
                <w:rFonts w:ascii="Arial" w:hAnsi="Arial" w:cs="Arial"/>
                <w:color w:val="FFFFFF" w:themeColor="background1"/>
                <w:sz w:val="18"/>
                <w:szCs w:val="18"/>
              </w:rPr>
            </w:pPr>
            <w:r w:rsidRPr="002A3B9B">
              <w:rPr>
                <w:rFonts w:ascii="Arial" w:hAnsi="Arial" w:cs="Arial"/>
                <w:color w:val="FFFFFF" w:themeColor="background1"/>
                <w:sz w:val="18"/>
                <w:szCs w:val="18"/>
              </w:rPr>
              <w:t>Type</w:t>
            </w:r>
          </w:p>
        </w:tc>
        <w:tc>
          <w:tcPr>
            <w:tcW w:w="995" w:type="dxa"/>
            <w:shd w:val="clear" w:color="auto" w:fill="17365D"/>
          </w:tcPr>
          <w:p w14:paraId="32B22545" w14:textId="77777777" w:rsidR="00FA10C6" w:rsidRPr="00C3053B" w:rsidRDefault="00FA10C6" w:rsidP="00D07BD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C3053B">
              <w:rPr>
                <w:rFonts w:ascii="Arial" w:hAnsi="Arial" w:cs="Arial"/>
                <w:b/>
                <w:bCs/>
                <w:color w:val="FFFFFF" w:themeColor="background1"/>
                <w:sz w:val="18"/>
                <w:szCs w:val="18"/>
              </w:rPr>
              <w:t>$ sales</w:t>
            </w:r>
          </w:p>
        </w:tc>
        <w:tc>
          <w:tcPr>
            <w:tcW w:w="1085" w:type="dxa"/>
            <w:shd w:val="clear" w:color="auto" w:fill="17365D"/>
          </w:tcPr>
          <w:p w14:paraId="774CA4E6" w14:textId="77777777" w:rsidR="00FA10C6" w:rsidRPr="00C3053B" w:rsidRDefault="00FA10C6" w:rsidP="00ED4D2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C3053B">
              <w:rPr>
                <w:rFonts w:ascii="Arial" w:hAnsi="Arial" w:cs="Arial"/>
                <w:b/>
                <w:bCs/>
                <w:color w:val="FFFFFF" w:themeColor="background1"/>
                <w:sz w:val="18"/>
                <w:szCs w:val="18"/>
              </w:rPr>
              <w:t>$ vs. YA</w:t>
            </w:r>
          </w:p>
        </w:tc>
        <w:tc>
          <w:tcPr>
            <w:tcW w:w="1147" w:type="dxa"/>
            <w:gridSpan w:val="2"/>
            <w:shd w:val="clear" w:color="auto" w:fill="17365D"/>
          </w:tcPr>
          <w:p w14:paraId="525F0DC7" w14:textId="5A445BE3" w:rsidR="00FA10C6" w:rsidRPr="00C3053B" w:rsidRDefault="00FA10C6" w:rsidP="00ED4D2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C3053B">
              <w:rPr>
                <w:rFonts w:ascii="Arial" w:hAnsi="Arial" w:cs="Arial"/>
                <w:b/>
                <w:bCs/>
                <w:color w:val="FFFFFF" w:themeColor="background1"/>
                <w:sz w:val="18"/>
                <w:szCs w:val="18"/>
              </w:rPr>
              <w:t>Lbs vs. YA</w:t>
            </w:r>
          </w:p>
        </w:tc>
        <w:tc>
          <w:tcPr>
            <w:tcW w:w="1906" w:type="dxa"/>
            <w:shd w:val="clear" w:color="auto" w:fill="17365D"/>
          </w:tcPr>
          <w:p w14:paraId="23A07FCF" w14:textId="77777777" w:rsidR="00FA10C6" w:rsidRPr="00C3053B" w:rsidRDefault="00FA10C6" w:rsidP="00D07BDF">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C3053B">
              <w:rPr>
                <w:rFonts w:ascii="Arial" w:hAnsi="Arial" w:cs="Arial"/>
                <w:b/>
                <w:bCs/>
                <w:color w:val="FFFFFF" w:themeColor="background1"/>
                <w:sz w:val="18"/>
                <w:szCs w:val="18"/>
              </w:rPr>
              <w:t>Type</w:t>
            </w:r>
          </w:p>
        </w:tc>
        <w:tc>
          <w:tcPr>
            <w:tcW w:w="990" w:type="dxa"/>
            <w:gridSpan w:val="2"/>
            <w:shd w:val="clear" w:color="auto" w:fill="17365D"/>
          </w:tcPr>
          <w:p w14:paraId="5F53ECFB" w14:textId="77777777" w:rsidR="00FA10C6" w:rsidRPr="00C3053B" w:rsidRDefault="00FA10C6" w:rsidP="00666164">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C3053B">
              <w:rPr>
                <w:rFonts w:ascii="Arial" w:hAnsi="Arial" w:cs="Arial"/>
                <w:b/>
                <w:bCs/>
                <w:color w:val="FFFFFF" w:themeColor="background1"/>
                <w:sz w:val="18"/>
                <w:szCs w:val="18"/>
              </w:rPr>
              <w:t>$ sales</w:t>
            </w:r>
          </w:p>
        </w:tc>
        <w:tc>
          <w:tcPr>
            <w:tcW w:w="1078" w:type="dxa"/>
            <w:shd w:val="clear" w:color="auto" w:fill="17365D"/>
          </w:tcPr>
          <w:p w14:paraId="31B74FA5" w14:textId="77777777" w:rsidR="00FA10C6" w:rsidRPr="00C3053B" w:rsidRDefault="00FA10C6" w:rsidP="00666164">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C3053B">
              <w:rPr>
                <w:rFonts w:ascii="Arial" w:hAnsi="Arial" w:cs="Arial"/>
                <w:b/>
                <w:bCs/>
                <w:color w:val="FFFFFF" w:themeColor="background1"/>
                <w:sz w:val="18"/>
                <w:szCs w:val="18"/>
              </w:rPr>
              <w:t>$ vs. YA</w:t>
            </w:r>
          </w:p>
        </w:tc>
        <w:tc>
          <w:tcPr>
            <w:tcW w:w="1355" w:type="dxa"/>
            <w:shd w:val="clear" w:color="auto" w:fill="17365D"/>
          </w:tcPr>
          <w:p w14:paraId="60774D73" w14:textId="77777777" w:rsidR="00FA10C6" w:rsidRPr="00C3053B" w:rsidRDefault="00FA10C6" w:rsidP="00666164">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C3053B">
              <w:rPr>
                <w:rFonts w:ascii="Arial" w:hAnsi="Arial" w:cs="Arial"/>
                <w:b/>
                <w:bCs/>
                <w:color w:val="FFFFFF" w:themeColor="background1"/>
                <w:sz w:val="18"/>
                <w:szCs w:val="18"/>
              </w:rPr>
              <w:t>Lbs vs. YA</w:t>
            </w:r>
          </w:p>
        </w:tc>
      </w:tr>
      <w:tr w:rsidR="00A67EB5" w:rsidRPr="00525982" w14:paraId="339F864E" w14:textId="77777777" w:rsidTr="00F55815">
        <w:trPr>
          <w:trHeight w:val="216"/>
        </w:trPr>
        <w:tc>
          <w:tcPr>
            <w:cnfStyle w:val="001000000000" w:firstRow="0" w:lastRow="0" w:firstColumn="1" w:lastColumn="0" w:oddVBand="0" w:evenVBand="0" w:oddHBand="0" w:evenHBand="0" w:firstRowFirstColumn="0" w:firstRowLastColumn="0" w:lastRowFirstColumn="0" w:lastRowLastColumn="0"/>
            <w:tcW w:w="1979" w:type="dxa"/>
            <w:vAlign w:val="center"/>
          </w:tcPr>
          <w:p w14:paraId="306F982D" w14:textId="77777777" w:rsidR="00A67EB5" w:rsidRPr="006A3676" w:rsidRDefault="00A67EB5" w:rsidP="00ED4D2A">
            <w:pPr>
              <w:pStyle w:val="NoSpacing"/>
              <w:rPr>
                <w:rFonts w:ascii="Arial" w:hAnsi="Arial" w:cs="Arial"/>
                <w:color w:val="000000" w:themeColor="text1"/>
                <w:sz w:val="18"/>
                <w:szCs w:val="18"/>
              </w:rPr>
            </w:pPr>
            <w:r w:rsidRPr="006A3676">
              <w:rPr>
                <w:rFonts w:ascii="Arial" w:hAnsi="Arial" w:cs="Arial"/>
                <w:bCs w:val="0"/>
                <w:color w:val="000000" w:themeColor="text1"/>
                <w:sz w:val="18"/>
                <w:szCs w:val="18"/>
              </w:rPr>
              <w:t>Processed meat</w:t>
            </w:r>
          </w:p>
        </w:tc>
        <w:tc>
          <w:tcPr>
            <w:tcW w:w="995" w:type="dxa"/>
            <w:vAlign w:val="center"/>
          </w:tcPr>
          <w:p w14:paraId="442DBF8D" w14:textId="6E17568E" w:rsidR="00A67EB5" w:rsidRPr="00A67EB5" w:rsidRDefault="00A67EB5" w:rsidP="00C3317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A67EB5">
              <w:rPr>
                <w:rFonts w:ascii="Arial" w:hAnsi="Arial" w:cs="Arial"/>
                <w:b/>
                <w:color w:val="000000"/>
                <w:sz w:val="18"/>
                <w:szCs w:val="18"/>
              </w:rPr>
              <w:t>$</w:t>
            </w:r>
            <w:r w:rsidR="00A65282">
              <w:rPr>
                <w:rFonts w:ascii="Arial" w:hAnsi="Arial" w:cs="Arial"/>
                <w:b/>
                <w:color w:val="000000"/>
                <w:sz w:val="18"/>
                <w:szCs w:val="18"/>
              </w:rPr>
              <w:t>2.3</w:t>
            </w:r>
            <w:r w:rsidRPr="00A67EB5">
              <w:rPr>
                <w:rFonts w:ascii="Arial" w:hAnsi="Arial" w:cs="Arial"/>
                <w:b/>
                <w:color w:val="000000"/>
                <w:sz w:val="18"/>
                <w:szCs w:val="18"/>
              </w:rPr>
              <w:t>B</w:t>
            </w:r>
          </w:p>
        </w:tc>
        <w:tc>
          <w:tcPr>
            <w:tcW w:w="1085" w:type="dxa"/>
            <w:vAlign w:val="center"/>
          </w:tcPr>
          <w:p w14:paraId="2A1A6FD2" w14:textId="1996EF7A" w:rsidR="00A67EB5" w:rsidRPr="00A67EB5" w:rsidRDefault="00A65282" w:rsidP="00C3317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color w:val="000000"/>
                <w:sz w:val="18"/>
                <w:szCs w:val="18"/>
              </w:rPr>
              <w:t>+2.3</w:t>
            </w:r>
            <w:r w:rsidR="00A67EB5" w:rsidRPr="00A67EB5">
              <w:rPr>
                <w:rFonts w:ascii="Arial" w:hAnsi="Arial" w:cs="Arial"/>
                <w:b/>
                <w:color w:val="000000"/>
                <w:sz w:val="18"/>
                <w:szCs w:val="18"/>
              </w:rPr>
              <w:t>%</w:t>
            </w:r>
          </w:p>
        </w:tc>
        <w:tc>
          <w:tcPr>
            <w:tcW w:w="1147" w:type="dxa"/>
            <w:gridSpan w:val="2"/>
            <w:vAlign w:val="center"/>
          </w:tcPr>
          <w:p w14:paraId="53409ED5" w14:textId="10C85A90" w:rsidR="00A67EB5" w:rsidRPr="00A67EB5" w:rsidRDefault="004560F4" w:rsidP="00C3317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color w:val="000000"/>
                <w:sz w:val="18"/>
                <w:szCs w:val="18"/>
              </w:rPr>
              <w:t>+</w:t>
            </w:r>
            <w:r w:rsidR="00A65282">
              <w:rPr>
                <w:rFonts w:ascii="Arial" w:hAnsi="Arial" w:cs="Arial"/>
                <w:b/>
                <w:color w:val="000000"/>
                <w:sz w:val="18"/>
                <w:szCs w:val="18"/>
              </w:rPr>
              <w:t>4.2</w:t>
            </w:r>
            <w:r w:rsidR="00A67EB5" w:rsidRPr="00A67EB5">
              <w:rPr>
                <w:rFonts w:ascii="Arial" w:hAnsi="Arial" w:cs="Arial"/>
                <w:b/>
                <w:color w:val="000000"/>
                <w:sz w:val="18"/>
                <w:szCs w:val="18"/>
              </w:rPr>
              <w:t>%</w:t>
            </w:r>
          </w:p>
        </w:tc>
        <w:tc>
          <w:tcPr>
            <w:tcW w:w="1906" w:type="dxa"/>
            <w:vAlign w:val="center"/>
          </w:tcPr>
          <w:p w14:paraId="711A3F85" w14:textId="77777777" w:rsidR="00A67EB5" w:rsidRPr="00C3053B" w:rsidRDefault="00A67EB5" w:rsidP="00ED4D2A">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C3053B">
              <w:rPr>
                <w:rFonts w:ascii="Arial" w:hAnsi="Arial" w:cs="Arial"/>
                <w:b/>
                <w:bCs/>
                <w:color w:val="000000" w:themeColor="text1"/>
                <w:sz w:val="18"/>
                <w:szCs w:val="18"/>
              </w:rPr>
              <w:t>Processed meat</w:t>
            </w:r>
          </w:p>
        </w:tc>
        <w:tc>
          <w:tcPr>
            <w:tcW w:w="990" w:type="dxa"/>
            <w:gridSpan w:val="2"/>
            <w:vAlign w:val="center"/>
          </w:tcPr>
          <w:p w14:paraId="1703D1F9" w14:textId="692057DD" w:rsidR="00A67EB5" w:rsidRPr="00A67EB5" w:rsidRDefault="00A67EB5" w:rsidP="00C3317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A67EB5">
              <w:rPr>
                <w:rFonts w:ascii="Arial" w:hAnsi="Arial" w:cs="Arial"/>
                <w:b/>
                <w:color w:val="000000"/>
                <w:sz w:val="18"/>
                <w:szCs w:val="18"/>
              </w:rPr>
              <w:t>$</w:t>
            </w:r>
            <w:r w:rsidR="00A65282">
              <w:rPr>
                <w:rFonts w:ascii="Arial" w:hAnsi="Arial" w:cs="Arial"/>
                <w:b/>
                <w:color w:val="000000"/>
                <w:sz w:val="18"/>
                <w:szCs w:val="18"/>
              </w:rPr>
              <w:t>32.6</w:t>
            </w:r>
            <w:r w:rsidRPr="00A67EB5">
              <w:rPr>
                <w:rFonts w:ascii="Arial" w:hAnsi="Arial" w:cs="Arial"/>
                <w:b/>
                <w:color w:val="000000"/>
                <w:sz w:val="18"/>
                <w:szCs w:val="18"/>
              </w:rPr>
              <w:t>B</w:t>
            </w:r>
          </w:p>
        </w:tc>
        <w:tc>
          <w:tcPr>
            <w:tcW w:w="1078" w:type="dxa"/>
            <w:vAlign w:val="center"/>
          </w:tcPr>
          <w:p w14:paraId="089AEC4A" w14:textId="6D565F88" w:rsidR="00A67EB5" w:rsidRPr="00A67EB5" w:rsidRDefault="00A67EB5" w:rsidP="00C3317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A67EB5">
              <w:rPr>
                <w:rFonts w:ascii="Arial" w:hAnsi="Arial" w:cs="Arial"/>
                <w:b/>
                <w:color w:val="000000"/>
                <w:sz w:val="18"/>
                <w:szCs w:val="18"/>
              </w:rPr>
              <w:t>+</w:t>
            </w:r>
            <w:r w:rsidR="00A65282">
              <w:rPr>
                <w:rFonts w:ascii="Arial" w:hAnsi="Arial" w:cs="Arial"/>
                <w:b/>
                <w:color w:val="000000"/>
                <w:sz w:val="18"/>
                <w:szCs w:val="18"/>
              </w:rPr>
              <w:t>2.3</w:t>
            </w:r>
            <w:r w:rsidRPr="00A67EB5">
              <w:rPr>
                <w:rFonts w:ascii="Arial" w:hAnsi="Arial" w:cs="Arial"/>
                <w:b/>
                <w:color w:val="000000"/>
                <w:sz w:val="18"/>
                <w:szCs w:val="18"/>
              </w:rPr>
              <w:t>%</w:t>
            </w:r>
          </w:p>
        </w:tc>
        <w:tc>
          <w:tcPr>
            <w:tcW w:w="1355" w:type="dxa"/>
            <w:vAlign w:val="center"/>
          </w:tcPr>
          <w:p w14:paraId="3A679A84" w14:textId="5E6198C7" w:rsidR="00A67EB5" w:rsidRPr="00A67EB5" w:rsidRDefault="00A65282" w:rsidP="00C3317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color w:val="000000"/>
                <w:sz w:val="18"/>
                <w:szCs w:val="18"/>
              </w:rPr>
              <w:t>+1.0</w:t>
            </w:r>
            <w:r w:rsidR="00A67EB5" w:rsidRPr="00A67EB5">
              <w:rPr>
                <w:rFonts w:ascii="Arial" w:hAnsi="Arial" w:cs="Arial"/>
                <w:b/>
                <w:color w:val="000000"/>
                <w:sz w:val="18"/>
                <w:szCs w:val="18"/>
              </w:rPr>
              <w:t>%</w:t>
            </w:r>
          </w:p>
        </w:tc>
      </w:tr>
      <w:tr w:rsidR="009662A7" w:rsidRPr="00525982" w14:paraId="3F7DAB1D" w14:textId="77777777" w:rsidTr="007E5368">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1979" w:type="dxa"/>
          </w:tcPr>
          <w:p w14:paraId="09F03BB3" w14:textId="6D2C2E89" w:rsidR="009662A7" w:rsidRPr="00A23920" w:rsidRDefault="009662A7" w:rsidP="009662A7">
            <w:pPr>
              <w:pStyle w:val="NoSpacing"/>
              <w:rPr>
                <w:rFonts w:ascii="Arial" w:hAnsi="Arial" w:cs="Arial"/>
                <w:b w:val="0"/>
                <w:color w:val="000000" w:themeColor="text1"/>
                <w:sz w:val="18"/>
                <w:szCs w:val="18"/>
              </w:rPr>
            </w:pPr>
            <w:r w:rsidRPr="00A23920">
              <w:rPr>
                <w:rFonts w:ascii="Arial" w:hAnsi="Arial" w:cs="Arial"/>
                <w:b w:val="0"/>
                <w:color w:val="000000" w:themeColor="text1"/>
                <w:sz w:val="18"/>
                <w:szCs w:val="18"/>
              </w:rPr>
              <w:t>Bacon</w:t>
            </w:r>
          </w:p>
        </w:tc>
        <w:tc>
          <w:tcPr>
            <w:tcW w:w="995" w:type="dxa"/>
          </w:tcPr>
          <w:p w14:paraId="602F01F1" w14:textId="06F8FA7E" w:rsidR="009662A7" w:rsidRPr="000D0537" w:rsidRDefault="009662A7" w:rsidP="009662A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61511">
              <w:rPr>
                <w:rFonts w:ascii="Arial" w:hAnsi="Arial" w:cs="Arial"/>
                <w:sz w:val="18"/>
                <w:szCs w:val="18"/>
              </w:rPr>
              <w:t>$</w:t>
            </w:r>
            <w:r w:rsidR="00A65282">
              <w:rPr>
                <w:rFonts w:ascii="Arial" w:hAnsi="Arial" w:cs="Arial"/>
                <w:sz w:val="18"/>
                <w:szCs w:val="18"/>
              </w:rPr>
              <w:t>493</w:t>
            </w:r>
            <w:r w:rsidRPr="00661511">
              <w:rPr>
                <w:rFonts w:ascii="Arial" w:hAnsi="Arial" w:cs="Arial"/>
                <w:sz w:val="18"/>
                <w:szCs w:val="18"/>
              </w:rPr>
              <w:t>M</w:t>
            </w:r>
          </w:p>
        </w:tc>
        <w:tc>
          <w:tcPr>
            <w:tcW w:w="1085" w:type="dxa"/>
          </w:tcPr>
          <w:p w14:paraId="066A5212" w14:textId="41CD69F0" w:rsidR="009662A7" w:rsidRPr="006A3676" w:rsidRDefault="009662A7" w:rsidP="009662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A65282">
              <w:rPr>
                <w:rFonts w:ascii="Arial" w:hAnsi="Arial" w:cs="Arial"/>
                <w:color w:val="000000"/>
                <w:sz w:val="18"/>
                <w:szCs w:val="18"/>
              </w:rPr>
              <w:t>1.6</w:t>
            </w:r>
            <w:r w:rsidRPr="00B83ED6">
              <w:rPr>
                <w:rFonts w:ascii="Arial" w:hAnsi="Arial" w:cs="Arial"/>
                <w:color w:val="000000"/>
                <w:sz w:val="18"/>
                <w:szCs w:val="18"/>
              </w:rPr>
              <w:t>%</w:t>
            </w:r>
          </w:p>
        </w:tc>
        <w:tc>
          <w:tcPr>
            <w:tcW w:w="1147" w:type="dxa"/>
            <w:gridSpan w:val="2"/>
            <w:vAlign w:val="center"/>
          </w:tcPr>
          <w:p w14:paraId="37DB3603" w14:textId="6B356AB9" w:rsidR="009662A7" w:rsidRPr="006A3676" w:rsidRDefault="009662A7" w:rsidP="009662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A65282">
              <w:rPr>
                <w:rFonts w:ascii="Arial" w:hAnsi="Arial" w:cs="Arial"/>
                <w:color w:val="000000"/>
                <w:sz w:val="18"/>
                <w:szCs w:val="18"/>
              </w:rPr>
              <w:t>0.9</w:t>
            </w:r>
            <w:r w:rsidRPr="00A62A50">
              <w:rPr>
                <w:rFonts w:ascii="Arial" w:hAnsi="Arial" w:cs="Arial"/>
                <w:color w:val="000000"/>
                <w:sz w:val="18"/>
                <w:szCs w:val="18"/>
              </w:rPr>
              <w:t>%</w:t>
            </w:r>
          </w:p>
        </w:tc>
        <w:tc>
          <w:tcPr>
            <w:tcW w:w="1906" w:type="dxa"/>
          </w:tcPr>
          <w:p w14:paraId="6FB3D0C7" w14:textId="3044CF16" w:rsidR="009662A7" w:rsidRPr="006A3676" w:rsidRDefault="009662A7" w:rsidP="009662A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Bacon</w:t>
            </w:r>
          </w:p>
        </w:tc>
        <w:tc>
          <w:tcPr>
            <w:tcW w:w="990" w:type="dxa"/>
            <w:gridSpan w:val="2"/>
          </w:tcPr>
          <w:p w14:paraId="605D4B44" w14:textId="70B97AB1" w:rsidR="009662A7" w:rsidRPr="006A3676" w:rsidRDefault="009662A7" w:rsidP="009662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C36F99">
              <w:rPr>
                <w:rFonts w:ascii="Arial" w:hAnsi="Arial" w:cs="Arial"/>
                <w:color w:val="000000" w:themeColor="text1"/>
                <w:sz w:val="18"/>
                <w:szCs w:val="18"/>
              </w:rPr>
              <w:t>$</w:t>
            </w:r>
            <w:r w:rsidR="00A65282">
              <w:rPr>
                <w:rFonts w:ascii="Arial" w:hAnsi="Arial" w:cs="Arial"/>
                <w:color w:val="000000" w:themeColor="text1"/>
                <w:sz w:val="18"/>
                <w:szCs w:val="18"/>
              </w:rPr>
              <w:t>7.1</w:t>
            </w:r>
            <w:r w:rsidRPr="00C36F99">
              <w:rPr>
                <w:rFonts w:ascii="Arial" w:hAnsi="Arial" w:cs="Arial"/>
                <w:color w:val="000000" w:themeColor="text1"/>
                <w:sz w:val="18"/>
                <w:szCs w:val="18"/>
              </w:rPr>
              <w:t>B</w:t>
            </w:r>
          </w:p>
        </w:tc>
        <w:tc>
          <w:tcPr>
            <w:tcW w:w="1078" w:type="dxa"/>
            <w:vAlign w:val="center"/>
          </w:tcPr>
          <w:p w14:paraId="761D5BF9" w14:textId="12818D2B" w:rsidR="009662A7" w:rsidRPr="006A3676" w:rsidRDefault="009662A7" w:rsidP="009662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8145DA">
              <w:rPr>
                <w:rFonts w:ascii="Arial" w:hAnsi="Arial" w:cs="Arial"/>
                <w:color w:val="000000"/>
                <w:sz w:val="18"/>
                <w:szCs w:val="18"/>
              </w:rPr>
              <w:t>+</w:t>
            </w:r>
            <w:r w:rsidR="00A65282">
              <w:rPr>
                <w:rFonts w:ascii="Arial" w:hAnsi="Arial" w:cs="Arial"/>
                <w:color w:val="000000"/>
                <w:sz w:val="18"/>
                <w:szCs w:val="18"/>
              </w:rPr>
              <w:t>1.9</w:t>
            </w:r>
            <w:r w:rsidRPr="008145DA">
              <w:rPr>
                <w:rFonts w:ascii="Arial" w:hAnsi="Arial" w:cs="Arial"/>
                <w:color w:val="000000"/>
                <w:sz w:val="18"/>
                <w:szCs w:val="18"/>
              </w:rPr>
              <w:t>%</w:t>
            </w:r>
          </w:p>
        </w:tc>
        <w:tc>
          <w:tcPr>
            <w:tcW w:w="1355" w:type="dxa"/>
          </w:tcPr>
          <w:p w14:paraId="5F5E4B5A" w14:textId="4CBDBC42" w:rsidR="009662A7" w:rsidRPr="006A3676" w:rsidRDefault="009662A7" w:rsidP="009662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155F99">
              <w:rPr>
                <w:rFonts w:ascii="Arial" w:hAnsi="Arial" w:cs="Arial"/>
                <w:color w:val="000000"/>
                <w:sz w:val="18"/>
                <w:szCs w:val="18"/>
              </w:rPr>
              <w:t>-</w:t>
            </w:r>
            <w:r w:rsidR="00A65282">
              <w:rPr>
                <w:rFonts w:ascii="Arial" w:hAnsi="Arial" w:cs="Arial"/>
                <w:color w:val="000000"/>
                <w:sz w:val="18"/>
                <w:szCs w:val="18"/>
              </w:rPr>
              <w:t>1.2</w:t>
            </w:r>
            <w:r w:rsidRPr="00155F99">
              <w:rPr>
                <w:rFonts w:ascii="Arial" w:hAnsi="Arial" w:cs="Arial"/>
                <w:color w:val="000000"/>
                <w:sz w:val="18"/>
                <w:szCs w:val="18"/>
              </w:rPr>
              <w:t>%</w:t>
            </w:r>
          </w:p>
        </w:tc>
      </w:tr>
      <w:tr w:rsidR="009662A7" w:rsidRPr="00525982" w14:paraId="2B22B991" w14:textId="77777777" w:rsidTr="00464CBE">
        <w:trPr>
          <w:trHeight w:val="216"/>
        </w:trPr>
        <w:tc>
          <w:tcPr>
            <w:cnfStyle w:val="001000000000" w:firstRow="0" w:lastRow="0" w:firstColumn="1" w:lastColumn="0" w:oddVBand="0" w:evenVBand="0" w:oddHBand="0" w:evenHBand="0" w:firstRowFirstColumn="0" w:firstRowLastColumn="0" w:lastRowFirstColumn="0" w:lastRowLastColumn="0"/>
            <w:tcW w:w="1979" w:type="dxa"/>
          </w:tcPr>
          <w:p w14:paraId="531A5532" w14:textId="15390C00" w:rsidR="009662A7" w:rsidRPr="00A23920" w:rsidRDefault="009662A7" w:rsidP="009662A7">
            <w:pPr>
              <w:pStyle w:val="NoSpacing"/>
              <w:rPr>
                <w:rFonts w:ascii="Arial" w:hAnsi="Arial" w:cs="Arial"/>
                <w:b w:val="0"/>
                <w:bCs w:val="0"/>
                <w:color w:val="000000" w:themeColor="text1"/>
                <w:sz w:val="18"/>
                <w:szCs w:val="18"/>
              </w:rPr>
            </w:pPr>
            <w:r w:rsidRPr="00A23920">
              <w:rPr>
                <w:rFonts w:ascii="Arial" w:hAnsi="Arial" w:cs="Arial"/>
                <w:b w:val="0"/>
                <w:color w:val="000000" w:themeColor="text1"/>
                <w:sz w:val="18"/>
                <w:szCs w:val="18"/>
              </w:rPr>
              <w:t xml:space="preserve">Packaged lunchmeat </w:t>
            </w:r>
          </w:p>
        </w:tc>
        <w:tc>
          <w:tcPr>
            <w:tcW w:w="995" w:type="dxa"/>
          </w:tcPr>
          <w:p w14:paraId="34433AF4" w14:textId="144BC929" w:rsidR="009662A7" w:rsidRPr="000D0537" w:rsidRDefault="009662A7" w:rsidP="009662A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661511">
              <w:rPr>
                <w:rFonts w:ascii="Arial" w:hAnsi="Arial" w:cs="Arial"/>
                <w:sz w:val="18"/>
                <w:szCs w:val="18"/>
              </w:rPr>
              <w:t>$</w:t>
            </w:r>
            <w:r w:rsidR="00A65282">
              <w:rPr>
                <w:rFonts w:ascii="Arial" w:hAnsi="Arial" w:cs="Arial"/>
                <w:sz w:val="18"/>
                <w:szCs w:val="18"/>
              </w:rPr>
              <w:t>505</w:t>
            </w:r>
            <w:r w:rsidRPr="00661511">
              <w:rPr>
                <w:rFonts w:ascii="Arial" w:hAnsi="Arial" w:cs="Arial"/>
                <w:sz w:val="18"/>
                <w:szCs w:val="18"/>
              </w:rPr>
              <w:t>M</w:t>
            </w:r>
          </w:p>
        </w:tc>
        <w:tc>
          <w:tcPr>
            <w:tcW w:w="1085" w:type="dxa"/>
          </w:tcPr>
          <w:p w14:paraId="123969AD" w14:textId="598134C8" w:rsidR="009662A7" w:rsidRPr="006A3676" w:rsidRDefault="009662A7" w:rsidP="009662A7">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w:t>
            </w:r>
            <w:r w:rsidR="00A65282">
              <w:rPr>
                <w:rFonts w:ascii="Arial" w:hAnsi="Arial" w:cs="Arial"/>
                <w:color w:val="000000"/>
                <w:sz w:val="18"/>
                <w:szCs w:val="18"/>
              </w:rPr>
              <w:t>1.4</w:t>
            </w:r>
            <w:r w:rsidRPr="00B83ED6">
              <w:rPr>
                <w:rFonts w:ascii="Arial" w:hAnsi="Arial" w:cs="Arial"/>
                <w:color w:val="000000"/>
                <w:sz w:val="18"/>
                <w:szCs w:val="18"/>
              </w:rPr>
              <w:t>%</w:t>
            </w:r>
          </w:p>
        </w:tc>
        <w:tc>
          <w:tcPr>
            <w:tcW w:w="1147" w:type="dxa"/>
            <w:gridSpan w:val="2"/>
            <w:vAlign w:val="center"/>
          </w:tcPr>
          <w:p w14:paraId="3F97CCD1" w14:textId="1BA5BA2C" w:rsidR="009662A7" w:rsidRPr="006A3676" w:rsidRDefault="009662A7" w:rsidP="009662A7">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8B55EE">
              <w:rPr>
                <w:rFonts w:ascii="Arial" w:hAnsi="Arial" w:cs="Arial"/>
                <w:color w:val="000000"/>
                <w:sz w:val="18"/>
                <w:szCs w:val="18"/>
              </w:rPr>
              <w:t>-</w:t>
            </w:r>
            <w:r w:rsidR="00A65282">
              <w:rPr>
                <w:rFonts w:ascii="Arial" w:hAnsi="Arial" w:cs="Arial"/>
                <w:color w:val="000000"/>
                <w:sz w:val="18"/>
                <w:szCs w:val="18"/>
              </w:rPr>
              <w:t>7.1</w:t>
            </w:r>
            <w:r w:rsidRPr="008B55EE">
              <w:rPr>
                <w:rFonts w:ascii="Arial" w:hAnsi="Arial" w:cs="Arial"/>
                <w:color w:val="000000"/>
                <w:sz w:val="18"/>
                <w:szCs w:val="18"/>
              </w:rPr>
              <w:t>%</w:t>
            </w:r>
          </w:p>
        </w:tc>
        <w:tc>
          <w:tcPr>
            <w:tcW w:w="1906" w:type="dxa"/>
          </w:tcPr>
          <w:p w14:paraId="3D9945E4" w14:textId="7961B50C" w:rsidR="009662A7" w:rsidRPr="006A3676" w:rsidRDefault="009662A7" w:rsidP="009662A7">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6A3676">
              <w:rPr>
                <w:rFonts w:ascii="Arial" w:hAnsi="Arial" w:cs="Arial"/>
                <w:color w:val="000000" w:themeColor="text1"/>
                <w:sz w:val="18"/>
                <w:szCs w:val="18"/>
              </w:rPr>
              <w:t>Packaged lunchmeat</w:t>
            </w:r>
            <w:r>
              <w:rPr>
                <w:rFonts w:ascii="Arial" w:hAnsi="Arial" w:cs="Arial"/>
                <w:color w:val="000000" w:themeColor="text1"/>
                <w:sz w:val="18"/>
                <w:szCs w:val="18"/>
              </w:rPr>
              <w:t xml:space="preserve"> </w:t>
            </w:r>
          </w:p>
        </w:tc>
        <w:tc>
          <w:tcPr>
            <w:tcW w:w="990" w:type="dxa"/>
            <w:gridSpan w:val="2"/>
          </w:tcPr>
          <w:p w14:paraId="3C1B1F1C" w14:textId="474ABC0D" w:rsidR="009662A7" w:rsidRPr="006A3676" w:rsidRDefault="009662A7" w:rsidP="009662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C36F99">
              <w:rPr>
                <w:rFonts w:ascii="Arial" w:hAnsi="Arial" w:cs="Arial"/>
                <w:color w:val="000000" w:themeColor="text1"/>
                <w:sz w:val="18"/>
                <w:szCs w:val="18"/>
              </w:rPr>
              <w:t>$</w:t>
            </w:r>
            <w:r w:rsidR="00A65282">
              <w:rPr>
                <w:rFonts w:ascii="Arial" w:hAnsi="Arial" w:cs="Arial"/>
                <w:color w:val="000000" w:themeColor="text1"/>
                <w:sz w:val="18"/>
                <w:szCs w:val="18"/>
              </w:rPr>
              <w:t>6.9</w:t>
            </w:r>
            <w:r w:rsidRPr="00C36F99">
              <w:rPr>
                <w:rFonts w:ascii="Arial" w:hAnsi="Arial" w:cs="Arial"/>
                <w:color w:val="000000" w:themeColor="text1"/>
                <w:sz w:val="18"/>
                <w:szCs w:val="18"/>
              </w:rPr>
              <w:t>B</w:t>
            </w:r>
          </w:p>
        </w:tc>
        <w:tc>
          <w:tcPr>
            <w:tcW w:w="1078" w:type="dxa"/>
            <w:vAlign w:val="center"/>
          </w:tcPr>
          <w:p w14:paraId="7785427F" w14:textId="4C27BB9D" w:rsidR="009662A7" w:rsidRPr="006A3676" w:rsidRDefault="009662A7" w:rsidP="009662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A65282">
              <w:rPr>
                <w:rFonts w:ascii="Arial" w:hAnsi="Arial" w:cs="Arial"/>
                <w:color w:val="000000"/>
                <w:sz w:val="18"/>
                <w:szCs w:val="18"/>
              </w:rPr>
              <w:t>1.5</w:t>
            </w:r>
            <w:r w:rsidRPr="008145DA">
              <w:rPr>
                <w:rFonts w:ascii="Arial" w:hAnsi="Arial" w:cs="Arial"/>
                <w:color w:val="000000"/>
                <w:sz w:val="18"/>
                <w:szCs w:val="18"/>
              </w:rPr>
              <w:t>%</w:t>
            </w:r>
          </w:p>
        </w:tc>
        <w:tc>
          <w:tcPr>
            <w:tcW w:w="1355" w:type="dxa"/>
          </w:tcPr>
          <w:p w14:paraId="4E54ED5C" w14:textId="5B35435B" w:rsidR="009662A7" w:rsidRPr="006A3676" w:rsidRDefault="009662A7" w:rsidP="009662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55F99">
              <w:rPr>
                <w:rFonts w:ascii="Arial" w:hAnsi="Arial" w:cs="Arial"/>
                <w:color w:val="000000"/>
                <w:sz w:val="18"/>
                <w:szCs w:val="18"/>
              </w:rPr>
              <w:t>-</w:t>
            </w:r>
            <w:r w:rsidR="00A65282">
              <w:rPr>
                <w:rFonts w:ascii="Arial" w:hAnsi="Arial" w:cs="Arial"/>
                <w:color w:val="000000"/>
                <w:sz w:val="18"/>
                <w:szCs w:val="18"/>
              </w:rPr>
              <w:t>4.3</w:t>
            </w:r>
            <w:r w:rsidRPr="00155F99">
              <w:rPr>
                <w:rFonts w:ascii="Arial" w:hAnsi="Arial" w:cs="Arial"/>
                <w:color w:val="000000"/>
                <w:sz w:val="18"/>
                <w:szCs w:val="18"/>
              </w:rPr>
              <w:t>%</w:t>
            </w:r>
          </w:p>
        </w:tc>
      </w:tr>
      <w:tr w:rsidR="009662A7" w:rsidRPr="00525982" w14:paraId="78E5AF39" w14:textId="77777777" w:rsidTr="00464CBE">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1979" w:type="dxa"/>
          </w:tcPr>
          <w:p w14:paraId="4B8C023B" w14:textId="77777777" w:rsidR="009662A7" w:rsidRPr="00EF76E7" w:rsidRDefault="009662A7" w:rsidP="009662A7">
            <w:pPr>
              <w:pStyle w:val="NoSpacing"/>
              <w:rPr>
                <w:rFonts w:ascii="Arial" w:hAnsi="Arial" w:cs="Arial"/>
                <w:b w:val="0"/>
                <w:bCs w:val="0"/>
                <w:color w:val="000000" w:themeColor="text1"/>
                <w:sz w:val="18"/>
                <w:szCs w:val="18"/>
              </w:rPr>
            </w:pPr>
            <w:r w:rsidRPr="006A3676">
              <w:rPr>
                <w:rFonts w:ascii="Arial" w:hAnsi="Arial" w:cs="Arial"/>
                <w:b w:val="0"/>
                <w:color w:val="000000" w:themeColor="text1"/>
                <w:sz w:val="18"/>
                <w:szCs w:val="18"/>
              </w:rPr>
              <w:t>Dinner sausage</w:t>
            </w:r>
          </w:p>
        </w:tc>
        <w:tc>
          <w:tcPr>
            <w:tcW w:w="995" w:type="dxa"/>
          </w:tcPr>
          <w:p w14:paraId="553E6C2C" w14:textId="572C6379" w:rsidR="009662A7" w:rsidRPr="000D0537" w:rsidRDefault="009662A7" w:rsidP="009662A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61511">
              <w:rPr>
                <w:rFonts w:ascii="Arial" w:hAnsi="Arial" w:cs="Arial"/>
                <w:sz w:val="18"/>
                <w:szCs w:val="18"/>
              </w:rPr>
              <w:t>$</w:t>
            </w:r>
            <w:r w:rsidR="00A65282">
              <w:rPr>
                <w:rFonts w:ascii="Arial" w:hAnsi="Arial" w:cs="Arial"/>
                <w:sz w:val="18"/>
                <w:szCs w:val="18"/>
              </w:rPr>
              <w:t>424</w:t>
            </w:r>
            <w:r w:rsidRPr="00661511">
              <w:rPr>
                <w:rFonts w:ascii="Arial" w:hAnsi="Arial" w:cs="Arial"/>
                <w:sz w:val="18"/>
                <w:szCs w:val="18"/>
              </w:rPr>
              <w:t>M</w:t>
            </w:r>
          </w:p>
        </w:tc>
        <w:tc>
          <w:tcPr>
            <w:tcW w:w="1085" w:type="dxa"/>
          </w:tcPr>
          <w:p w14:paraId="56C8AC8C" w14:textId="64E7B696" w:rsidR="009662A7" w:rsidRPr="006A3676" w:rsidRDefault="009662A7" w:rsidP="009662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58675A">
              <w:rPr>
                <w:rFonts w:ascii="Arial" w:hAnsi="Arial" w:cs="Arial"/>
                <w:color w:val="000000"/>
                <w:sz w:val="18"/>
                <w:szCs w:val="18"/>
              </w:rPr>
              <w:t>+</w:t>
            </w:r>
            <w:r w:rsidR="00A65282">
              <w:rPr>
                <w:rFonts w:ascii="Arial" w:hAnsi="Arial" w:cs="Arial"/>
                <w:color w:val="000000"/>
                <w:sz w:val="18"/>
                <w:szCs w:val="18"/>
              </w:rPr>
              <w:t>1.0</w:t>
            </w:r>
            <w:r w:rsidRPr="0058675A">
              <w:rPr>
                <w:rFonts w:ascii="Arial" w:hAnsi="Arial" w:cs="Arial"/>
                <w:color w:val="000000"/>
                <w:sz w:val="18"/>
                <w:szCs w:val="18"/>
              </w:rPr>
              <w:t>%</w:t>
            </w:r>
          </w:p>
        </w:tc>
        <w:tc>
          <w:tcPr>
            <w:tcW w:w="1147" w:type="dxa"/>
            <w:gridSpan w:val="2"/>
          </w:tcPr>
          <w:p w14:paraId="6B906B85" w14:textId="66D9D5D9" w:rsidR="009662A7" w:rsidRPr="006A3676" w:rsidRDefault="009662A7" w:rsidP="009662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A65282">
              <w:rPr>
                <w:rFonts w:ascii="Arial" w:hAnsi="Arial" w:cs="Arial"/>
                <w:color w:val="000000"/>
                <w:sz w:val="18"/>
                <w:szCs w:val="18"/>
              </w:rPr>
              <w:t>0.6</w:t>
            </w:r>
            <w:r w:rsidRPr="002D4CB3">
              <w:rPr>
                <w:rFonts w:ascii="Arial" w:hAnsi="Arial" w:cs="Arial"/>
                <w:color w:val="000000"/>
                <w:sz w:val="18"/>
                <w:szCs w:val="18"/>
              </w:rPr>
              <w:t>%</w:t>
            </w:r>
          </w:p>
        </w:tc>
        <w:tc>
          <w:tcPr>
            <w:tcW w:w="1906" w:type="dxa"/>
          </w:tcPr>
          <w:p w14:paraId="1E79C667" w14:textId="2959700F" w:rsidR="009662A7" w:rsidRPr="006A3676" w:rsidRDefault="009662A7" w:rsidP="009662A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Dinner sausage</w:t>
            </w:r>
          </w:p>
        </w:tc>
        <w:tc>
          <w:tcPr>
            <w:tcW w:w="990" w:type="dxa"/>
            <w:gridSpan w:val="2"/>
          </w:tcPr>
          <w:p w14:paraId="40BD2546" w14:textId="69A30A0D" w:rsidR="009662A7" w:rsidRPr="006A3676" w:rsidRDefault="009662A7" w:rsidP="009662A7">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C36F99">
              <w:rPr>
                <w:rFonts w:ascii="Arial" w:hAnsi="Arial" w:cs="Arial"/>
                <w:color w:val="000000" w:themeColor="text1"/>
                <w:sz w:val="18"/>
                <w:szCs w:val="18"/>
              </w:rPr>
              <w:t>$</w:t>
            </w:r>
            <w:r w:rsidR="00A65282">
              <w:rPr>
                <w:rFonts w:ascii="Arial" w:hAnsi="Arial" w:cs="Arial"/>
                <w:color w:val="000000" w:themeColor="text1"/>
                <w:sz w:val="18"/>
                <w:szCs w:val="18"/>
              </w:rPr>
              <w:t>5.9</w:t>
            </w:r>
            <w:r w:rsidRPr="00C36F99">
              <w:rPr>
                <w:rFonts w:ascii="Arial" w:hAnsi="Arial" w:cs="Arial"/>
                <w:color w:val="000000" w:themeColor="text1"/>
                <w:sz w:val="18"/>
                <w:szCs w:val="18"/>
              </w:rPr>
              <w:t>B</w:t>
            </w:r>
          </w:p>
        </w:tc>
        <w:tc>
          <w:tcPr>
            <w:tcW w:w="1078" w:type="dxa"/>
          </w:tcPr>
          <w:p w14:paraId="334BCFB0" w14:textId="0EA5F905" w:rsidR="009662A7" w:rsidRPr="006A3676" w:rsidRDefault="009662A7" w:rsidP="009662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8F2655">
              <w:rPr>
                <w:rFonts w:ascii="Arial" w:hAnsi="Arial" w:cs="Arial"/>
                <w:color w:val="000000"/>
                <w:sz w:val="18"/>
                <w:szCs w:val="18"/>
              </w:rPr>
              <w:t>+</w:t>
            </w:r>
            <w:r w:rsidR="00A65282">
              <w:rPr>
                <w:rFonts w:ascii="Arial" w:hAnsi="Arial" w:cs="Arial"/>
                <w:color w:val="000000"/>
                <w:sz w:val="18"/>
                <w:szCs w:val="18"/>
              </w:rPr>
              <w:t>3.6</w:t>
            </w:r>
            <w:r w:rsidRPr="008F2655">
              <w:rPr>
                <w:rFonts w:ascii="Arial" w:hAnsi="Arial" w:cs="Arial"/>
                <w:color w:val="000000"/>
                <w:sz w:val="18"/>
                <w:szCs w:val="18"/>
              </w:rPr>
              <w:t>%</w:t>
            </w:r>
          </w:p>
        </w:tc>
        <w:tc>
          <w:tcPr>
            <w:tcW w:w="1355" w:type="dxa"/>
          </w:tcPr>
          <w:p w14:paraId="7E6B63EE" w14:textId="1DF50213" w:rsidR="009662A7" w:rsidRPr="006A3676" w:rsidRDefault="00A65282" w:rsidP="009662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+1.6</w:t>
            </w:r>
            <w:r w:rsidR="009662A7" w:rsidRPr="00155F99">
              <w:rPr>
                <w:rFonts w:ascii="Arial" w:hAnsi="Arial" w:cs="Arial"/>
                <w:color w:val="000000"/>
                <w:sz w:val="18"/>
                <w:szCs w:val="18"/>
              </w:rPr>
              <w:t>%</w:t>
            </w:r>
          </w:p>
        </w:tc>
      </w:tr>
      <w:tr w:rsidR="009662A7" w:rsidRPr="00525982" w14:paraId="44EF8C4A" w14:textId="77777777" w:rsidTr="00464CBE">
        <w:trPr>
          <w:trHeight w:val="216"/>
        </w:trPr>
        <w:tc>
          <w:tcPr>
            <w:cnfStyle w:val="001000000000" w:firstRow="0" w:lastRow="0" w:firstColumn="1" w:lastColumn="0" w:oddVBand="0" w:evenVBand="0" w:oddHBand="0" w:evenHBand="0" w:firstRowFirstColumn="0" w:firstRowLastColumn="0" w:lastRowFirstColumn="0" w:lastRowLastColumn="0"/>
            <w:tcW w:w="1979" w:type="dxa"/>
          </w:tcPr>
          <w:p w14:paraId="458DE88C" w14:textId="17749298" w:rsidR="009662A7" w:rsidRPr="009519E2" w:rsidRDefault="009662A7" w:rsidP="009662A7">
            <w:pPr>
              <w:pStyle w:val="NoSpacing"/>
              <w:rPr>
                <w:rFonts w:ascii="Arial" w:hAnsi="Arial" w:cs="Arial"/>
                <w:b w:val="0"/>
                <w:bCs w:val="0"/>
                <w:color w:val="000000" w:themeColor="text1"/>
                <w:sz w:val="18"/>
                <w:szCs w:val="18"/>
              </w:rPr>
            </w:pPr>
            <w:r w:rsidRPr="009519E2">
              <w:rPr>
                <w:rFonts w:ascii="Arial" w:hAnsi="Arial" w:cs="Arial"/>
                <w:b w:val="0"/>
                <w:color w:val="000000" w:themeColor="text1"/>
                <w:sz w:val="18"/>
                <w:szCs w:val="18"/>
              </w:rPr>
              <w:t>Frankfurters</w:t>
            </w:r>
          </w:p>
        </w:tc>
        <w:tc>
          <w:tcPr>
            <w:tcW w:w="995" w:type="dxa"/>
          </w:tcPr>
          <w:p w14:paraId="701F1CC5" w14:textId="563F9200" w:rsidR="009662A7" w:rsidRPr="000D0537" w:rsidRDefault="009662A7" w:rsidP="009662A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61511">
              <w:rPr>
                <w:rFonts w:ascii="Arial" w:hAnsi="Arial" w:cs="Arial"/>
                <w:sz w:val="18"/>
                <w:szCs w:val="18"/>
              </w:rPr>
              <w:t>$</w:t>
            </w:r>
            <w:r w:rsidR="00A65282">
              <w:rPr>
                <w:rFonts w:ascii="Arial" w:hAnsi="Arial" w:cs="Arial"/>
                <w:sz w:val="18"/>
                <w:szCs w:val="18"/>
              </w:rPr>
              <w:t>223</w:t>
            </w:r>
            <w:r w:rsidRPr="00661511">
              <w:rPr>
                <w:rFonts w:ascii="Arial" w:hAnsi="Arial" w:cs="Arial"/>
                <w:sz w:val="18"/>
                <w:szCs w:val="18"/>
              </w:rPr>
              <w:t>M</w:t>
            </w:r>
          </w:p>
        </w:tc>
        <w:tc>
          <w:tcPr>
            <w:tcW w:w="1085" w:type="dxa"/>
          </w:tcPr>
          <w:p w14:paraId="749FB091" w14:textId="11922E7F" w:rsidR="009662A7" w:rsidRPr="006A3676" w:rsidRDefault="009662A7" w:rsidP="009662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58675A">
              <w:rPr>
                <w:rFonts w:ascii="Arial" w:hAnsi="Arial" w:cs="Arial"/>
                <w:color w:val="000000"/>
                <w:sz w:val="18"/>
                <w:szCs w:val="18"/>
              </w:rPr>
              <w:t>+</w:t>
            </w:r>
            <w:r w:rsidR="00A65282">
              <w:rPr>
                <w:rFonts w:ascii="Arial" w:hAnsi="Arial" w:cs="Arial"/>
                <w:color w:val="000000"/>
                <w:sz w:val="18"/>
                <w:szCs w:val="18"/>
              </w:rPr>
              <w:t>3.0</w:t>
            </w:r>
            <w:r w:rsidRPr="0058675A">
              <w:rPr>
                <w:rFonts w:ascii="Arial" w:hAnsi="Arial" w:cs="Arial"/>
                <w:color w:val="000000"/>
                <w:sz w:val="18"/>
                <w:szCs w:val="18"/>
              </w:rPr>
              <w:t>%</w:t>
            </w:r>
          </w:p>
        </w:tc>
        <w:tc>
          <w:tcPr>
            <w:tcW w:w="1147" w:type="dxa"/>
            <w:gridSpan w:val="2"/>
            <w:vAlign w:val="center"/>
          </w:tcPr>
          <w:p w14:paraId="2D45A662" w14:textId="63632083" w:rsidR="009662A7" w:rsidRPr="006A3676" w:rsidRDefault="009662A7" w:rsidP="009662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8B55EE">
              <w:rPr>
                <w:rFonts w:ascii="Arial" w:hAnsi="Arial" w:cs="Arial"/>
                <w:color w:val="000000"/>
                <w:sz w:val="18"/>
                <w:szCs w:val="18"/>
              </w:rPr>
              <w:t>-</w:t>
            </w:r>
            <w:r w:rsidR="00A65282">
              <w:rPr>
                <w:rFonts w:ascii="Arial" w:hAnsi="Arial" w:cs="Arial"/>
                <w:color w:val="000000"/>
                <w:sz w:val="18"/>
                <w:szCs w:val="18"/>
              </w:rPr>
              <w:t>3.5</w:t>
            </w:r>
            <w:r w:rsidRPr="008B55EE">
              <w:rPr>
                <w:rFonts w:ascii="Arial" w:hAnsi="Arial" w:cs="Arial"/>
                <w:color w:val="000000"/>
                <w:sz w:val="18"/>
                <w:szCs w:val="18"/>
              </w:rPr>
              <w:t>%</w:t>
            </w:r>
          </w:p>
        </w:tc>
        <w:tc>
          <w:tcPr>
            <w:tcW w:w="1906" w:type="dxa"/>
          </w:tcPr>
          <w:p w14:paraId="640CD33E" w14:textId="2A46AEFD" w:rsidR="009662A7" w:rsidRPr="006A3676" w:rsidRDefault="009662A7" w:rsidP="009662A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Frankfurters</w:t>
            </w:r>
          </w:p>
        </w:tc>
        <w:tc>
          <w:tcPr>
            <w:tcW w:w="990" w:type="dxa"/>
            <w:gridSpan w:val="2"/>
          </w:tcPr>
          <w:p w14:paraId="5B10E2F7" w14:textId="33B55B88" w:rsidR="009662A7" w:rsidRPr="006A3676" w:rsidRDefault="009662A7" w:rsidP="009662A7">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C36F99">
              <w:rPr>
                <w:rFonts w:ascii="Arial" w:hAnsi="Arial" w:cs="Arial"/>
                <w:color w:val="000000" w:themeColor="text1"/>
                <w:sz w:val="18"/>
                <w:szCs w:val="18"/>
              </w:rPr>
              <w:t>$</w:t>
            </w:r>
            <w:r w:rsidR="00A65282">
              <w:rPr>
                <w:rFonts w:ascii="Arial" w:hAnsi="Arial" w:cs="Arial"/>
                <w:color w:val="000000" w:themeColor="text1"/>
                <w:sz w:val="18"/>
                <w:szCs w:val="18"/>
              </w:rPr>
              <w:t>3.3</w:t>
            </w:r>
            <w:r w:rsidRPr="00C36F99">
              <w:rPr>
                <w:rFonts w:ascii="Arial" w:hAnsi="Arial" w:cs="Arial"/>
                <w:color w:val="000000" w:themeColor="text1"/>
                <w:sz w:val="18"/>
                <w:szCs w:val="18"/>
              </w:rPr>
              <w:t>B</w:t>
            </w:r>
          </w:p>
        </w:tc>
        <w:tc>
          <w:tcPr>
            <w:tcW w:w="1078" w:type="dxa"/>
          </w:tcPr>
          <w:p w14:paraId="31DFF7B8" w14:textId="26A7BFAD" w:rsidR="009662A7" w:rsidRPr="006A3676" w:rsidRDefault="009662A7" w:rsidP="009662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8F2655">
              <w:rPr>
                <w:rFonts w:ascii="Arial" w:hAnsi="Arial" w:cs="Arial"/>
                <w:color w:val="000000"/>
                <w:sz w:val="18"/>
                <w:szCs w:val="18"/>
              </w:rPr>
              <w:t>+</w:t>
            </w:r>
            <w:r w:rsidR="00A65282">
              <w:rPr>
                <w:rFonts w:ascii="Arial" w:hAnsi="Arial" w:cs="Arial"/>
                <w:color w:val="000000"/>
                <w:sz w:val="18"/>
                <w:szCs w:val="18"/>
              </w:rPr>
              <w:t>2.6</w:t>
            </w:r>
            <w:r w:rsidRPr="008F2655">
              <w:rPr>
                <w:rFonts w:ascii="Arial" w:hAnsi="Arial" w:cs="Arial"/>
                <w:color w:val="000000"/>
                <w:sz w:val="18"/>
                <w:szCs w:val="18"/>
              </w:rPr>
              <w:t>%</w:t>
            </w:r>
          </w:p>
        </w:tc>
        <w:tc>
          <w:tcPr>
            <w:tcW w:w="1355" w:type="dxa"/>
          </w:tcPr>
          <w:p w14:paraId="782F2D73" w14:textId="61CEC46A" w:rsidR="009662A7" w:rsidRPr="006A3676" w:rsidRDefault="009662A7" w:rsidP="009662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55F99">
              <w:rPr>
                <w:rFonts w:ascii="Arial" w:hAnsi="Arial" w:cs="Arial"/>
                <w:color w:val="000000"/>
                <w:sz w:val="18"/>
                <w:szCs w:val="18"/>
              </w:rPr>
              <w:t>-</w:t>
            </w:r>
            <w:r w:rsidR="00A65282">
              <w:rPr>
                <w:rFonts w:ascii="Arial" w:hAnsi="Arial" w:cs="Arial"/>
                <w:color w:val="000000"/>
                <w:sz w:val="18"/>
                <w:szCs w:val="18"/>
              </w:rPr>
              <w:t>3.4</w:t>
            </w:r>
            <w:r w:rsidRPr="00155F99">
              <w:rPr>
                <w:rFonts w:ascii="Arial" w:hAnsi="Arial" w:cs="Arial"/>
                <w:color w:val="000000"/>
                <w:sz w:val="18"/>
                <w:szCs w:val="18"/>
              </w:rPr>
              <w:t>%</w:t>
            </w:r>
          </w:p>
        </w:tc>
      </w:tr>
      <w:tr w:rsidR="009662A7" w:rsidRPr="00525982" w14:paraId="1AB8C0B9" w14:textId="77777777" w:rsidTr="00464CBE">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1979" w:type="dxa"/>
          </w:tcPr>
          <w:p w14:paraId="2792B27D" w14:textId="250F9FF9" w:rsidR="009662A7" w:rsidRPr="009519E2" w:rsidRDefault="009662A7" w:rsidP="009662A7">
            <w:pPr>
              <w:pStyle w:val="NoSpacing"/>
              <w:rPr>
                <w:rFonts w:ascii="Arial" w:hAnsi="Arial" w:cs="Arial"/>
                <w:b w:val="0"/>
                <w:bCs w:val="0"/>
                <w:color w:val="000000" w:themeColor="text1"/>
                <w:sz w:val="18"/>
                <w:szCs w:val="18"/>
              </w:rPr>
            </w:pPr>
            <w:r w:rsidRPr="009519E2">
              <w:rPr>
                <w:rFonts w:ascii="Arial" w:hAnsi="Arial" w:cs="Arial"/>
                <w:b w:val="0"/>
                <w:bCs w:val="0"/>
                <w:color w:val="000000" w:themeColor="text1"/>
                <w:sz w:val="18"/>
                <w:szCs w:val="18"/>
              </w:rPr>
              <w:t>Breakfast sausage</w:t>
            </w:r>
          </w:p>
        </w:tc>
        <w:tc>
          <w:tcPr>
            <w:tcW w:w="995" w:type="dxa"/>
          </w:tcPr>
          <w:p w14:paraId="41D61A29" w14:textId="3DBAF16A" w:rsidR="009662A7" w:rsidRPr="000D0537" w:rsidRDefault="009662A7" w:rsidP="009662A7">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661511">
              <w:rPr>
                <w:rFonts w:ascii="Arial" w:hAnsi="Arial" w:cs="Arial"/>
                <w:sz w:val="18"/>
                <w:szCs w:val="18"/>
              </w:rPr>
              <w:t>$</w:t>
            </w:r>
            <w:r w:rsidR="00A65282">
              <w:rPr>
                <w:rFonts w:ascii="Arial" w:hAnsi="Arial" w:cs="Arial"/>
                <w:sz w:val="18"/>
                <w:szCs w:val="18"/>
              </w:rPr>
              <w:t>183</w:t>
            </w:r>
            <w:r w:rsidRPr="00661511">
              <w:rPr>
                <w:rFonts w:ascii="Arial" w:hAnsi="Arial" w:cs="Arial"/>
                <w:sz w:val="18"/>
                <w:szCs w:val="18"/>
              </w:rPr>
              <w:t>M</w:t>
            </w:r>
          </w:p>
        </w:tc>
        <w:tc>
          <w:tcPr>
            <w:tcW w:w="1085" w:type="dxa"/>
          </w:tcPr>
          <w:p w14:paraId="4DB66BF0" w14:textId="18F08EAF" w:rsidR="009662A7" w:rsidRPr="006A3676" w:rsidRDefault="00A65282" w:rsidP="009662A7">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+1.7</w:t>
            </w:r>
            <w:r w:rsidR="009662A7" w:rsidRPr="00B83ED6">
              <w:rPr>
                <w:rFonts w:ascii="Arial" w:hAnsi="Arial" w:cs="Arial"/>
                <w:color w:val="000000"/>
                <w:sz w:val="18"/>
                <w:szCs w:val="18"/>
              </w:rPr>
              <w:t>%</w:t>
            </w:r>
          </w:p>
        </w:tc>
        <w:tc>
          <w:tcPr>
            <w:tcW w:w="1147" w:type="dxa"/>
            <w:gridSpan w:val="2"/>
          </w:tcPr>
          <w:p w14:paraId="6A57B63E" w14:textId="46EA7741" w:rsidR="009662A7" w:rsidRPr="006A3676" w:rsidRDefault="009662A7" w:rsidP="009662A7">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0E66ED">
              <w:rPr>
                <w:rFonts w:ascii="Arial" w:hAnsi="Arial" w:cs="Arial"/>
                <w:color w:val="000000"/>
                <w:sz w:val="18"/>
                <w:szCs w:val="18"/>
              </w:rPr>
              <w:t>+</w:t>
            </w:r>
            <w:r w:rsidR="00A65282">
              <w:rPr>
                <w:rFonts w:ascii="Arial" w:hAnsi="Arial" w:cs="Arial"/>
                <w:color w:val="000000"/>
                <w:sz w:val="18"/>
                <w:szCs w:val="18"/>
              </w:rPr>
              <w:t>5.6</w:t>
            </w:r>
            <w:r w:rsidRPr="000E66ED">
              <w:rPr>
                <w:rFonts w:ascii="Arial" w:hAnsi="Arial" w:cs="Arial"/>
                <w:color w:val="000000"/>
                <w:sz w:val="18"/>
                <w:szCs w:val="18"/>
              </w:rPr>
              <w:t>%</w:t>
            </w:r>
          </w:p>
        </w:tc>
        <w:tc>
          <w:tcPr>
            <w:tcW w:w="1906" w:type="dxa"/>
          </w:tcPr>
          <w:p w14:paraId="41F7637B" w14:textId="74B3DDF3" w:rsidR="009662A7" w:rsidRPr="006A3676" w:rsidRDefault="009662A7" w:rsidP="009662A7">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bCs/>
                <w:color w:val="000000" w:themeColor="text1"/>
                <w:sz w:val="18"/>
                <w:szCs w:val="18"/>
              </w:rPr>
              <w:t>Breakfast sausage</w:t>
            </w:r>
          </w:p>
        </w:tc>
        <w:tc>
          <w:tcPr>
            <w:tcW w:w="990" w:type="dxa"/>
            <w:gridSpan w:val="2"/>
          </w:tcPr>
          <w:p w14:paraId="4AB0424B" w14:textId="19E85FF8" w:rsidR="009662A7" w:rsidRPr="006A3676" w:rsidRDefault="009662A7" w:rsidP="009662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C36F99">
              <w:rPr>
                <w:rFonts w:ascii="Arial" w:hAnsi="Arial" w:cs="Arial"/>
                <w:color w:val="000000" w:themeColor="text1"/>
                <w:sz w:val="18"/>
                <w:szCs w:val="18"/>
              </w:rPr>
              <w:t>$</w:t>
            </w:r>
            <w:r w:rsidR="00A65282">
              <w:rPr>
                <w:rFonts w:ascii="Arial" w:hAnsi="Arial" w:cs="Arial"/>
                <w:color w:val="000000" w:themeColor="text1"/>
                <w:sz w:val="18"/>
                <w:szCs w:val="18"/>
              </w:rPr>
              <w:t>2.6</w:t>
            </w:r>
            <w:r w:rsidRPr="00C36F99">
              <w:rPr>
                <w:rFonts w:ascii="Arial" w:hAnsi="Arial" w:cs="Arial"/>
                <w:color w:val="000000" w:themeColor="text1"/>
                <w:sz w:val="18"/>
                <w:szCs w:val="18"/>
              </w:rPr>
              <w:t>B</w:t>
            </w:r>
          </w:p>
        </w:tc>
        <w:tc>
          <w:tcPr>
            <w:tcW w:w="1078" w:type="dxa"/>
          </w:tcPr>
          <w:p w14:paraId="66EC2490" w14:textId="69DEDF9F" w:rsidR="009662A7" w:rsidRPr="006A3676" w:rsidRDefault="009662A7" w:rsidP="009662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8F2655">
              <w:rPr>
                <w:rFonts w:ascii="Arial" w:hAnsi="Arial" w:cs="Arial"/>
                <w:color w:val="000000"/>
                <w:sz w:val="18"/>
                <w:szCs w:val="18"/>
              </w:rPr>
              <w:t>+</w:t>
            </w:r>
            <w:r w:rsidR="00A65282">
              <w:rPr>
                <w:rFonts w:ascii="Arial" w:hAnsi="Arial" w:cs="Arial"/>
                <w:color w:val="000000"/>
                <w:sz w:val="18"/>
                <w:szCs w:val="18"/>
              </w:rPr>
              <w:t>3.6</w:t>
            </w:r>
            <w:r w:rsidRPr="008F2655">
              <w:rPr>
                <w:rFonts w:ascii="Arial" w:hAnsi="Arial" w:cs="Arial"/>
                <w:color w:val="000000"/>
                <w:sz w:val="18"/>
                <w:szCs w:val="18"/>
              </w:rPr>
              <w:t>%</w:t>
            </w:r>
          </w:p>
        </w:tc>
        <w:tc>
          <w:tcPr>
            <w:tcW w:w="1355" w:type="dxa"/>
          </w:tcPr>
          <w:p w14:paraId="0C43A90B" w14:textId="539B1C15" w:rsidR="009662A7" w:rsidRPr="006A3676" w:rsidRDefault="00A65282" w:rsidP="009662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+3.5</w:t>
            </w:r>
            <w:r w:rsidR="009662A7" w:rsidRPr="00155F99">
              <w:rPr>
                <w:rFonts w:ascii="Arial" w:hAnsi="Arial" w:cs="Arial"/>
                <w:color w:val="000000"/>
                <w:sz w:val="18"/>
                <w:szCs w:val="18"/>
              </w:rPr>
              <w:t>%</w:t>
            </w:r>
          </w:p>
        </w:tc>
      </w:tr>
      <w:tr w:rsidR="009662A7" w:rsidRPr="00525982" w14:paraId="32923D6D" w14:textId="77777777" w:rsidTr="00464CBE">
        <w:trPr>
          <w:trHeight w:val="216"/>
        </w:trPr>
        <w:tc>
          <w:tcPr>
            <w:cnfStyle w:val="001000000000" w:firstRow="0" w:lastRow="0" w:firstColumn="1" w:lastColumn="0" w:oddVBand="0" w:evenVBand="0" w:oddHBand="0" w:evenHBand="0" w:firstRowFirstColumn="0" w:firstRowLastColumn="0" w:lastRowFirstColumn="0" w:lastRowLastColumn="0"/>
            <w:tcW w:w="1979" w:type="dxa"/>
          </w:tcPr>
          <w:p w14:paraId="3030501D" w14:textId="2FAD5FDF" w:rsidR="009662A7" w:rsidRPr="009519E2" w:rsidRDefault="009662A7" w:rsidP="009662A7">
            <w:pPr>
              <w:pStyle w:val="NoSpacing"/>
              <w:rPr>
                <w:rFonts w:ascii="Arial" w:hAnsi="Arial" w:cs="Arial"/>
                <w:b w:val="0"/>
                <w:bCs w:val="0"/>
                <w:color w:val="000000" w:themeColor="text1"/>
                <w:sz w:val="18"/>
                <w:szCs w:val="18"/>
              </w:rPr>
            </w:pPr>
            <w:r w:rsidRPr="009519E2">
              <w:rPr>
                <w:rFonts w:ascii="Arial" w:hAnsi="Arial" w:cs="Arial"/>
                <w:b w:val="0"/>
                <w:bCs w:val="0"/>
                <w:color w:val="000000" w:themeColor="text1"/>
                <w:sz w:val="18"/>
                <w:szCs w:val="18"/>
              </w:rPr>
              <w:t>Smoked ham</w:t>
            </w:r>
          </w:p>
        </w:tc>
        <w:tc>
          <w:tcPr>
            <w:tcW w:w="995" w:type="dxa"/>
          </w:tcPr>
          <w:p w14:paraId="487E25FA" w14:textId="5648AA31" w:rsidR="009662A7" w:rsidRPr="000D0537" w:rsidRDefault="009662A7" w:rsidP="009662A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661511">
              <w:rPr>
                <w:rFonts w:ascii="Arial" w:hAnsi="Arial" w:cs="Arial"/>
                <w:sz w:val="18"/>
                <w:szCs w:val="18"/>
              </w:rPr>
              <w:t>$</w:t>
            </w:r>
            <w:r w:rsidR="00A65282">
              <w:rPr>
                <w:rFonts w:ascii="Arial" w:hAnsi="Arial" w:cs="Arial"/>
                <w:sz w:val="18"/>
                <w:szCs w:val="18"/>
              </w:rPr>
              <w:t>140</w:t>
            </w:r>
            <w:r w:rsidRPr="00661511">
              <w:rPr>
                <w:rFonts w:ascii="Arial" w:hAnsi="Arial" w:cs="Arial"/>
                <w:sz w:val="18"/>
                <w:szCs w:val="18"/>
              </w:rPr>
              <w:t>M</w:t>
            </w:r>
          </w:p>
        </w:tc>
        <w:tc>
          <w:tcPr>
            <w:tcW w:w="1085" w:type="dxa"/>
          </w:tcPr>
          <w:p w14:paraId="2A83BF90" w14:textId="70E88F25" w:rsidR="009662A7" w:rsidRPr="006A3676" w:rsidRDefault="00A65282" w:rsidP="009662A7">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+50.2</w:t>
            </w:r>
            <w:r w:rsidR="009662A7" w:rsidRPr="00B83ED6">
              <w:rPr>
                <w:rFonts w:ascii="Arial" w:hAnsi="Arial" w:cs="Arial"/>
                <w:color w:val="000000"/>
                <w:sz w:val="18"/>
                <w:szCs w:val="18"/>
              </w:rPr>
              <w:t>%</w:t>
            </w:r>
          </w:p>
        </w:tc>
        <w:tc>
          <w:tcPr>
            <w:tcW w:w="1147" w:type="dxa"/>
            <w:gridSpan w:val="2"/>
          </w:tcPr>
          <w:p w14:paraId="1B58C5B1" w14:textId="1F2B389F" w:rsidR="009662A7" w:rsidRPr="006A3676" w:rsidRDefault="00A65282" w:rsidP="009662A7">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+112.0</w:t>
            </w:r>
            <w:r w:rsidR="009662A7" w:rsidRPr="000E66ED">
              <w:rPr>
                <w:rFonts w:ascii="Arial" w:hAnsi="Arial" w:cs="Arial"/>
                <w:color w:val="000000"/>
                <w:sz w:val="18"/>
                <w:szCs w:val="18"/>
              </w:rPr>
              <w:t>%</w:t>
            </w:r>
          </w:p>
        </w:tc>
        <w:tc>
          <w:tcPr>
            <w:tcW w:w="1906" w:type="dxa"/>
          </w:tcPr>
          <w:p w14:paraId="37A4CAA1" w14:textId="33569C67" w:rsidR="009662A7" w:rsidRPr="006A3676" w:rsidRDefault="009662A7" w:rsidP="009662A7">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bCs/>
                <w:color w:val="000000" w:themeColor="text1"/>
                <w:sz w:val="18"/>
                <w:szCs w:val="18"/>
              </w:rPr>
              <w:t>Smoked ham</w:t>
            </w:r>
          </w:p>
        </w:tc>
        <w:tc>
          <w:tcPr>
            <w:tcW w:w="990" w:type="dxa"/>
            <w:gridSpan w:val="2"/>
          </w:tcPr>
          <w:p w14:paraId="47FE4639" w14:textId="3DA5239A" w:rsidR="009662A7" w:rsidRPr="006A3676" w:rsidRDefault="009662A7" w:rsidP="009662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C36F99">
              <w:rPr>
                <w:rFonts w:ascii="Arial" w:hAnsi="Arial" w:cs="Arial"/>
                <w:color w:val="000000" w:themeColor="text1"/>
                <w:sz w:val="18"/>
                <w:szCs w:val="18"/>
              </w:rPr>
              <w:t>$</w:t>
            </w:r>
            <w:r w:rsidR="00A65282">
              <w:rPr>
                <w:rFonts w:ascii="Arial" w:hAnsi="Arial" w:cs="Arial"/>
                <w:color w:val="000000" w:themeColor="text1"/>
                <w:sz w:val="18"/>
                <w:szCs w:val="18"/>
              </w:rPr>
              <w:t>2.1</w:t>
            </w:r>
            <w:r w:rsidRPr="00C36F99">
              <w:rPr>
                <w:rFonts w:ascii="Arial" w:hAnsi="Arial" w:cs="Arial"/>
                <w:color w:val="000000" w:themeColor="text1"/>
                <w:sz w:val="18"/>
                <w:szCs w:val="18"/>
              </w:rPr>
              <w:t>B</w:t>
            </w:r>
          </w:p>
        </w:tc>
        <w:tc>
          <w:tcPr>
            <w:tcW w:w="1078" w:type="dxa"/>
          </w:tcPr>
          <w:p w14:paraId="00D8DA58" w14:textId="2CCE6B55" w:rsidR="009662A7" w:rsidRPr="006A3676" w:rsidRDefault="009662A7" w:rsidP="009662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8F2655">
              <w:rPr>
                <w:rFonts w:ascii="Arial" w:hAnsi="Arial" w:cs="Arial"/>
                <w:color w:val="000000"/>
                <w:sz w:val="18"/>
                <w:szCs w:val="18"/>
              </w:rPr>
              <w:t>+</w:t>
            </w:r>
            <w:r w:rsidR="00A65282">
              <w:rPr>
                <w:rFonts w:ascii="Arial" w:hAnsi="Arial" w:cs="Arial"/>
                <w:color w:val="000000"/>
                <w:sz w:val="18"/>
                <w:szCs w:val="18"/>
              </w:rPr>
              <w:t>13.3</w:t>
            </w:r>
            <w:r w:rsidRPr="008F2655">
              <w:rPr>
                <w:rFonts w:ascii="Arial" w:hAnsi="Arial" w:cs="Arial"/>
                <w:color w:val="000000"/>
                <w:sz w:val="18"/>
                <w:szCs w:val="18"/>
              </w:rPr>
              <w:t>%</w:t>
            </w:r>
          </w:p>
        </w:tc>
        <w:tc>
          <w:tcPr>
            <w:tcW w:w="1355" w:type="dxa"/>
          </w:tcPr>
          <w:p w14:paraId="1A3D0915" w14:textId="4C83F69A" w:rsidR="009662A7" w:rsidRPr="006A3676" w:rsidRDefault="00A65282" w:rsidP="009662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+18.6</w:t>
            </w:r>
            <w:r w:rsidR="009662A7" w:rsidRPr="00155F99">
              <w:rPr>
                <w:rFonts w:ascii="Arial" w:hAnsi="Arial" w:cs="Arial"/>
                <w:color w:val="000000"/>
                <w:sz w:val="18"/>
                <w:szCs w:val="18"/>
              </w:rPr>
              <w:t>%</w:t>
            </w:r>
          </w:p>
        </w:tc>
      </w:tr>
      <w:tr w:rsidR="009662A7" w:rsidRPr="00525982" w14:paraId="568DCC99" w14:textId="77777777" w:rsidTr="00464CBE">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1979" w:type="dxa"/>
          </w:tcPr>
          <w:p w14:paraId="0431DF75" w14:textId="1D1A9E52" w:rsidR="009662A7" w:rsidRPr="00B02090" w:rsidRDefault="009662A7" w:rsidP="009662A7">
            <w:pPr>
              <w:pStyle w:val="NoSpacing"/>
              <w:rPr>
                <w:rFonts w:ascii="Arial" w:hAnsi="Arial" w:cs="Arial"/>
                <w:b w:val="0"/>
                <w:color w:val="000000" w:themeColor="text1"/>
                <w:sz w:val="18"/>
                <w:szCs w:val="18"/>
              </w:rPr>
            </w:pPr>
            <w:r w:rsidRPr="00B02090">
              <w:rPr>
                <w:rFonts w:ascii="Arial" w:hAnsi="Arial" w:cs="Arial"/>
                <w:b w:val="0"/>
                <w:color w:val="000000" w:themeColor="text1"/>
                <w:sz w:val="18"/>
                <w:szCs w:val="18"/>
              </w:rPr>
              <w:t>Processed chicken</w:t>
            </w:r>
          </w:p>
        </w:tc>
        <w:tc>
          <w:tcPr>
            <w:tcW w:w="995" w:type="dxa"/>
          </w:tcPr>
          <w:p w14:paraId="08564128" w14:textId="2CF17980" w:rsidR="009662A7" w:rsidRPr="000D0537" w:rsidRDefault="009662A7" w:rsidP="009662A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61511">
              <w:rPr>
                <w:rFonts w:ascii="Arial" w:hAnsi="Arial" w:cs="Arial"/>
                <w:sz w:val="18"/>
                <w:szCs w:val="18"/>
              </w:rPr>
              <w:t>$</w:t>
            </w:r>
            <w:r w:rsidR="00A65282">
              <w:rPr>
                <w:rFonts w:ascii="Arial" w:hAnsi="Arial" w:cs="Arial"/>
                <w:sz w:val="18"/>
                <w:szCs w:val="18"/>
              </w:rPr>
              <w:t>69</w:t>
            </w:r>
            <w:r w:rsidRPr="00661511">
              <w:rPr>
                <w:rFonts w:ascii="Arial" w:hAnsi="Arial" w:cs="Arial"/>
                <w:sz w:val="18"/>
                <w:szCs w:val="18"/>
              </w:rPr>
              <w:t>M</w:t>
            </w:r>
          </w:p>
        </w:tc>
        <w:tc>
          <w:tcPr>
            <w:tcW w:w="1085" w:type="dxa"/>
          </w:tcPr>
          <w:p w14:paraId="700E511A" w14:textId="4D813018" w:rsidR="009662A7" w:rsidRPr="006A3676" w:rsidRDefault="009662A7" w:rsidP="009662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2634F">
              <w:rPr>
                <w:rFonts w:ascii="Arial" w:hAnsi="Arial" w:cs="Arial"/>
                <w:color w:val="000000"/>
                <w:sz w:val="18"/>
                <w:szCs w:val="18"/>
              </w:rPr>
              <w:t>+</w:t>
            </w:r>
            <w:r w:rsidR="00A65282">
              <w:rPr>
                <w:rFonts w:ascii="Arial" w:hAnsi="Arial" w:cs="Arial"/>
                <w:color w:val="000000"/>
                <w:sz w:val="18"/>
                <w:szCs w:val="18"/>
              </w:rPr>
              <w:t>9.5</w:t>
            </w:r>
            <w:r w:rsidRPr="00D2634F">
              <w:rPr>
                <w:rFonts w:ascii="Arial" w:hAnsi="Arial" w:cs="Arial"/>
                <w:color w:val="000000"/>
                <w:sz w:val="18"/>
                <w:szCs w:val="18"/>
              </w:rPr>
              <w:t>%</w:t>
            </w:r>
          </w:p>
        </w:tc>
        <w:tc>
          <w:tcPr>
            <w:tcW w:w="1147" w:type="dxa"/>
            <w:gridSpan w:val="2"/>
          </w:tcPr>
          <w:p w14:paraId="704A4DC6" w14:textId="4DB65280" w:rsidR="009662A7" w:rsidRPr="006A3676" w:rsidRDefault="009662A7" w:rsidP="009662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2634F">
              <w:rPr>
                <w:rFonts w:ascii="Arial" w:hAnsi="Arial" w:cs="Arial"/>
                <w:color w:val="000000"/>
                <w:sz w:val="18"/>
                <w:szCs w:val="18"/>
              </w:rPr>
              <w:t>+</w:t>
            </w:r>
            <w:r w:rsidR="00A65282">
              <w:rPr>
                <w:rFonts w:ascii="Arial" w:hAnsi="Arial" w:cs="Arial"/>
                <w:color w:val="000000"/>
                <w:sz w:val="18"/>
                <w:szCs w:val="18"/>
              </w:rPr>
              <w:t>14.4</w:t>
            </w:r>
            <w:r w:rsidRPr="00D2634F">
              <w:rPr>
                <w:rFonts w:ascii="Arial" w:hAnsi="Arial" w:cs="Arial"/>
                <w:color w:val="000000"/>
                <w:sz w:val="18"/>
                <w:szCs w:val="18"/>
              </w:rPr>
              <w:t>%</w:t>
            </w:r>
          </w:p>
        </w:tc>
        <w:tc>
          <w:tcPr>
            <w:tcW w:w="1906" w:type="dxa"/>
          </w:tcPr>
          <w:p w14:paraId="6D96A488" w14:textId="7BF89CEA" w:rsidR="009662A7" w:rsidRPr="006A3676" w:rsidRDefault="009662A7" w:rsidP="009662A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Processed chicken</w:t>
            </w:r>
          </w:p>
        </w:tc>
        <w:tc>
          <w:tcPr>
            <w:tcW w:w="990" w:type="dxa"/>
            <w:gridSpan w:val="2"/>
            <w:vAlign w:val="center"/>
          </w:tcPr>
          <w:p w14:paraId="4732DC22" w14:textId="7C98F574" w:rsidR="009662A7" w:rsidRPr="006A3676" w:rsidRDefault="009662A7" w:rsidP="009662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sz w:val="18"/>
                <w:szCs w:val="18"/>
              </w:rPr>
              <w:t>$</w:t>
            </w:r>
            <w:r w:rsidR="00A65282">
              <w:rPr>
                <w:rFonts w:ascii="Arial" w:hAnsi="Arial" w:cs="Arial"/>
                <w:sz w:val="18"/>
                <w:szCs w:val="18"/>
              </w:rPr>
              <w:t>858</w:t>
            </w:r>
            <w:r w:rsidRPr="005341A8">
              <w:rPr>
                <w:rFonts w:ascii="Arial" w:hAnsi="Arial" w:cs="Arial"/>
                <w:sz w:val="18"/>
                <w:szCs w:val="18"/>
              </w:rPr>
              <w:t>M</w:t>
            </w:r>
          </w:p>
        </w:tc>
        <w:tc>
          <w:tcPr>
            <w:tcW w:w="1078" w:type="dxa"/>
          </w:tcPr>
          <w:p w14:paraId="0533DF65" w14:textId="3E8071DF" w:rsidR="009662A7" w:rsidRPr="006A3676" w:rsidRDefault="009662A7" w:rsidP="009662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8F2655">
              <w:rPr>
                <w:rFonts w:ascii="Arial" w:hAnsi="Arial" w:cs="Arial"/>
                <w:color w:val="000000"/>
                <w:sz w:val="18"/>
                <w:szCs w:val="18"/>
              </w:rPr>
              <w:t>+</w:t>
            </w:r>
            <w:r w:rsidR="00A65282">
              <w:rPr>
                <w:rFonts w:ascii="Arial" w:hAnsi="Arial" w:cs="Arial"/>
                <w:color w:val="000000"/>
                <w:sz w:val="18"/>
                <w:szCs w:val="18"/>
              </w:rPr>
              <w:t>4.0</w:t>
            </w:r>
            <w:r w:rsidRPr="008F2655">
              <w:rPr>
                <w:rFonts w:ascii="Arial" w:hAnsi="Arial" w:cs="Arial"/>
                <w:color w:val="000000"/>
                <w:sz w:val="18"/>
                <w:szCs w:val="18"/>
              </w:rPr>
              <w:t>%</w:t>
            </w:r>
          </w:p>
        </w:tc>
        <w:tc>
          <w:tcPr>
            <w:tcW w:w="1355" w:type="dxa"/>
          </w:tcPr>
          <w:p w14:paraId="320DCD68" w14:textId="588AABCF" w:rsidR="009662A7" w:rsidRPr="006A3676" w:rsidRDefault="009662A7" w:rsidP="009662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726212">
              <w:rPr>
                <w:rFonts w:ascii="Arial" w:hAnsi="Arial" w:cs="Arial"/>
                <w:color w:val="000000"/>
                <w:sz w:val="18"/>
                <w:szCs w:val="18"/>
              </w:rPr>
              <w:t>+</w:t>
            </w:r>
            <w:r w:rsidR="00A65282">
              <w:rPr>
                <w:rFonts w:ascii="Arial" w:hAnsi="Arial" w:cs="Arial"/>
                <w:color w:val="000000"/>
                <w:sz w:val="18"/>
                <w:szCs w:val="18"/>
              </w:rPr>
              <w:t>4.9</w:t>
            </w:r>
            <w:r w:rsidRPr="00726212">
              <w:rPr>
                <w:rFonts w:ascii="Arial" w:hAnsi="Arial" w:cs="Arial"/>
                <w:color w:val="000000"/>
                <w:sz w:val="18"/>
                <w:szCs w:val="18"/>
              </w:rPr>
              <w:t>%</w:t>
            </w:r>
          </w:p>
        </w:tc>
      </w:tr>
    </w:tbl>
    <w:p w14:paraId="18EEDDCE" w14:textId="77777777" w:rsidR="00FA10C6" w:rsidRPr="0027199D" w:rsidRDefault="00FA10C6" w:rsidP="00FA10C6">
      <w:pPr>
        <w:pStyle w:val="NoSpacing"/>
        <w:rPr>
          <w:rFonts w:ascii="Arial" w:hAnsi="Arial" w:cs="Arial"/>
          <w:sz w:val="8"/>
          <w:szCs w:val="10"/>
        </w:rPr>
      </w:pPr>
    </w:p>
    <w:p w14:paraId="1EBFE19C" w14:textId="77777777" w:rsidR="00FA10C6" w:rsidRDefault="00FA10C6" w:rsidP="00FA10C6">
      <w:pPr>
        <w:pStyle w:val="NoSpacing"/>
        <w:rPr>
          <w:rFonts w:ascii="Arial" w:hAnsi="Arial" w:cs="Arial"/>
          <w:color w:val="7F7F7F" w:themeColor="text1" w:themeTint="80"/>
          <w:sz w:val="16"/>
          <w:szCs w:val="16"/>
        </w:rPr>
      </w:pPr>
      <w:r w:rsidRPr="00797BB8">
        <w:rPr>
          <w:rFonts w:ascii="Arial" w:hAnsi="Arial" w:cs="Arial"/>
          <w:color w:val="7F7F7F" w:themeColor="text1" w:themeTint="80"/>
          <w:sz w:val="16"/>
          <w:szCs w:val="16"/>
        </w:rPr>
        <w:t xml:space="preserve">Source: Circana, Integrated Fresh, Total US, </w:t>
      </w:r>
      <w:r>
        <w:rPr>
          <w:rFonts w:ascii="Arial" w:hAnsi="Arial" w:cs="Arial"/>
          <w:color w:val="7F7F7F" w:themeColor="text1" w:themeTint="80"/>
          <w:sz w:val="16"/>
          <w:szCs w:val="16"/>
        </w:rPr>
        <w:t>MULO+</w:t>
      </w:r>
    </w:p>
    <w:p w14:paraId="034E4DB6" w14:textId="77777777" w:rsidR="00BE1DDD" w:rsidRDefault="00BE1DDD" w:rsidP="00FA10C6">
      <w:pPr>
        <w:pStyle w:val="NoSpacing"/>
        <w:rPr>
          <w:rFonts w:ascii="Arial" w:hAnsi="Arial" w:cs="Arial"/>
          <w:color w:val="7F7F7F" w:themeColor="text1" w:themeTint="80"/>
          <w:sz w:val="16"/>
          <w:szCs w:val="16"/>
        </w:rPr>
      </w:pPr>
    </w:p>
    <w:bookmarkEnd w:id="9"/>
    <w:p w14:paraId="637120AC" w14:textId="7FB9EEEB" w:rsidR="00924A69" w:rsidRDefault="00BF1669" w:rsidP="006A3BE6">
      <w:pPr>
        <w:pStyle w:val="NoSpacing"/>
        <w:rPr>
          <w:rFonts w:ascii="Arial" w:eastAsia="Times New Roman" w:hAnsi="Arial" w:cs="Arial"/>
          <w:sz w:val="20"/>
          <w:szCs w:val="20"/>
        </w:rPr>
      </w:pPr>
      <w:r w:rsidRPr="00740C65">
        <w:rPr>
          <w:rFonts w:ascii="Arial" w:hAnsi="Arial" w:cs="Arial"/>
          <w:b/>
          <w:color w:val="595959" w:themeColor="text1" w:themeTint="A6"/>
          <w:sz w:val="24"/>
          <w:szCs w:val="24"/>
        </w:rPr>
        <w:t>Grinds</w:t>
      </w:r>
      <w:r w:rsidR="00DC3D3A">
        <w:rPr>
          <w:rFonts w:ascii="Arial" w:hAnsi="Arial" w:cs="Arial"/>
          <w:b/>
          <w:color w:val="595959" w:themeColor="text1" w:themeTint="A6"/>
          <w:sz w:val="24"/>
          <w:szCs w:val="24"/>
        </w:rPr>
        <w:t xml:space="preserve"> </w:t>
      </w:r>
      <w:r w:rsidR="003A7881">
        <w:rPr>
          <w:rFonts w:ascii="Arial" w:hAnsi="Arial" w:cs="Arial"/>
          <w:b/>
          <w:color w:val="595959" w:themeColor="text1" w:themeTint="A6"/>
          <w:sz w:val="24"/>
          <w:szCs w:val="24"/>
        </w:rPr>
        <w:br/>
      </w:r>
      <w:r w:rsidR="00A1598F">
        <w:rPr>
          <w:rFonts w:ascii="Arial" w:eastAsia="Times New Roman" w:hAnsi="Arial" w:cs="Arial"/>
          <w:sz w:val="20"/>
          <w:szCs w:val="20"/>
        </w:rPr>
        <w:t xml:space="preserve">Ground beef sales reached $1.4 billion in March. This was up 11.0% in dollars and 1.6% in pounds. Ground chicken is a fast up-and-comer, while turkey is losing ground with rising prices. Ground pork is another pocket of growth for the meat department. </w:t>
      </w:r>
      <w:r w:rsidR="00924A69">
        <w:rPr>
          <w:rFonts w:ascii="Arial" w:eastAsia="Times New Roman" w:hAnsi="Arial" w:cs="Arial"/>
          <w:sz w:val="20"/>
          <w:szCs w:val="20"/>
        </w:rPr>
        <w:t xml:space="preserve"> </w:t>
      </w:r>
    </w:p>
    <w:p w14:paraId="50C06894" w14:textId="5B65977B" w:rsidR="00525982" w:rsidRDefault="00652416" w:rsidP="006A3BE6">
      <w:pPr>
        <w:pStyle w:val="NoSpacing"/>
        <w:rPr>
          <w:rFonts w:ascii="Arial" w:eastAsia="Times New Roman" w:hAnsi="Arial" w:cs="Arial"/>
          <w:sz w:val="20"/>
          <w:szCs w:val="20"/>
        </w:rPr>
      </w:pPr>
      <w:r>
        <w:rPr>
          <w:rFonts w:ascii="Arial" w:eastAsia="Times New Roman" w:hAnsi="Arial" w:cs="Arial"/>
          <w:sz w:val="20"/>
          <w:szCs w:val="20"/>
        </w:rPr>
        <w:t xml:space="preserve"> </w:t>
      </w:r>
      <w:r w:rsidR="006777ED">
        <w:rPr>
          <w:rFonts w:ascii="Arial" w:eastAsia="Times New Roman" w:hAnsi="Arial" w:cs="Arial"/>
          <w:sz w:val="20"/>
          <w:szCs w:val="20"/>
        </w:rPr>
        <w:t xml:space="preserve"> </w:t>
      </w:r>
    </w:p>
    <w:tbl>
      <w:tblPr>
        <w:tblStyle w:val="LightShading-Accent5"/>
        <w:tblW w:w="10440" w:type="dxa"/>
        <w:tblLayout w:type="fixed"/>
        <w:tblLook w:val="04A0" w:firstRow="1" w:lastRow="0" w:firstColumn="1" w:lastColumn="0" w:noHBand="0" w:noVBand="1"/>
      </w:tblPr>
      <w:tblGrid>
        <w:gridCol w:w="1710"/>
        <w:gridCol w:w="900"/>
        <w:gridCol w:w="90"/>
        <w:gridCol w:w="1075"/>
        <w:gridCol w:w="1333"/>
        <w:gridCol w:w="22"/>
        <w:gridCol w:w="1710"/>
        <w:gridCol w:w="990"/>
        <w:gridCol w:w="1277"/>
        <w:gridCol w:w="1333"/>
      </w:tblGrid>
      <w:tr w:rsidR="000134EB" w:rsidRPr="0003007F" w14:paraId="668C754B" w14:textId="77777777" w:rsidTr="00EE41DD">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17365D" w:themeFill="text2" w:themeFillShade="BF"/>
          </w:tcPr>
          <w:p w14:paraId="7EF819CB" w14:textId="77777777" w:rsidR="000134EB" w:rsidRPr="00AB1306" w:rsidRDefault="000134EB" w:rsidP="000134EB">
            <w:pPr>
              <w:pStyle w:val="NoSpacing"/>
              <w:rPr>
                <w:rFonts w:ascii="Arial" w:hAnsi="Arial" w:cs="Arial"/>
                <w:color w:val="FFFFFF" w:themeColor="background1"/>
                <w:sz w:val="18"/>
                <w:szCs w:val="18"/>
              </w:rPr>
            </w:pPr>
            <w:bookmarkStart w:id="10" w:name="_Hlk137219473"/>
          </w:p>
        </w:tc>
        <w:tc>
          <w:tcPr>
            <w:tcW w:w="3420" w:type="dxa"/>
            <w:gridSpan w:val="5"/>
            <w:tcBorders>
              <w:top w:val="nil"/>
              <w:bottom w:val="nil"/>
            </w:tcBorders>
            <w:shd w:val="clear" w:color="auto" w:fill="17365D" w:themeFill="text2" w:themeFillShade="BF"/>
          </w:tcPr>
          <w:p w14:paraId="0F0287FF" w14:textId="3E16A9A7" w:rsidR="000134EB" w:rsidRPr="00AB1306" w:rsidRDefault="00193E59" w:rsidP="00EE41D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March</w:t>
            </w:r>
            <w:r w:rsidR="00FA10C6">
              <w:rPr>
                <w:rFonts w:ascii="Arial" w:hAnsi="Arial" w:cs="Arial"/>
                <w:color w:val="FFFFFF" w:themeColor="background1"/>
                <w:sz w:val="18"/>
                <w:szCs w:val="18"/>
              </w:rPr>
              <w:t xml:space="preserve"> </w:t>
            </w:r>
            <w:r w:rsidR="000D7CB9">
              <w:rPr>
                <w:rFonts w:ascii="Arial" w:hAnsi="Arial" w:cs="Arial"/>
                <w:color w:val="FFFFFF" w:themeColor="background1"/>
                <w:sz w:val="18"/>
                <w:szCs w:val="18"/>
              </w:rPr>
              <w:t>2026</w:t>
            </w:r>
          </w:p>
        </w:tc>
        <w:tc>
          <w:tcPr>
            <w:tcW w:w="1710" w:type="dxa"/>
            <w:tcBorders>
              <w:top w:val="nil"/>
              <w:bottom w:val="nil"/>
            </w:tcBorders>
            <w:shd w:val="clear" w:color="auto" w:fill="17365D" w:themeFill="text2" w:themeFillShade="BF"/>
          </w:tcPr>
          <w:p w14:paraId="6F27EFDD" w14:textId="2ED31C89" w:rsidR="000134EB" w:rsidRPr="00F515F4" w:rsidRDefault="000134EB" w:rsidP="000134EB">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
        </w:tc>
        <w:tc>
          <w:tcPr>
            <w:tcW w:w="3600" w:type="dxa"/>
            <w:gridSpan w:val="3"/>
            <w:tcBorders>
              <w:top w:val="nil"/>
              <w:bottom w:val="nil"/>
            </w:tcBorders>
            <w:shd w:val="clear" w:color="auto" w:fill="17365D" w:themeFill="text2" w:themeFillShade="BF"/>
          </w:tcPr>
          <w:p w14:paraId="6A29F442" w14:textId="48A71B80" w:rsidR="000134EB" w:rsidRPr="0003007F" w:rsidRDefault="000D7CB9" w:rsidP="00EE41D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525982" w:rsidRPr="002A3B9B" w14:paraId="0DFB453A" w14:textId="77777777" w:rsidTr="00A1598F">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17365D" w:themeFill="text2" w:themeFillShade="BF"/>
            <w:vAlign w:val="center"/>
          </w:tcPr>
          <w:p w14:paraId="357CBEF9" w14:textId="77777777" w:rsidR="00525982" w:rsidRPr="002A3B9B" w:rsidRDefault="00525982" w:rsidP="00A1598F">
            <w:pPr>
              <w:pStyle w:val="NoSpacing"/>
              <w:rPr>
                <w:rFonts w:ascii="Arial" w:hAnsi="Arial" w:cs="Arial"/>
                <w:color w:val="FFFFFF" w:themeColor="background1"/>
                <w:sz w:val="18"/>
                <w:szCs w:val="18"/>
              </w:rPr>
            </w:pPr>
            <w:r w:rsidRPr="002A3B9B">
              <w:rPr>
                <w:rFonts w:ascii="Arial" w:hAnsi="Arial" w:cs="Arial"/>
                <w:color w:val="FFFFFF" w:themeColor="background1"/>
                <w:sz w:val="18"/>
                <w:szCs w:val="18"/>
              </w:rPr>
              <w:t>Type</w:t>
            </w:r>
          </w:p>
        </w:tc>
        <w:tc>
          <w:tcPr>
            <w:tcW w:w="900" w:type="dxa"/>
            <w:tcBorders>
              <w:top w:val="nil"/>
              <w:bottom w:val="nil"/>
            </w:tcBorders>
            <w:shd w:val="clear" w:color="auto" w:fill="17365D" w:themeFill="text2" w:themeFillShade="BF"/>
            <w:vAlign w:val="center"/>
          </w:tcPr>
          <w:p w14:paraId="0DB7328C" w14:textId="77777777" w:rsidR="00525982" w:rsidRPr="002A3B9B" w:rsidRDefault="00525982" w:rsidP="00A1598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sales</w:t>
            </w:r>
          </w:p>
        </w:tc>
        <w:tc>
          <w:tcPr>
            <w:tcW w:w="1165" w:type="dxa"/>
            <w:gridSpan w:val="2"/>
            <w:tcBorders>
              <w:top w:val="nil"/>
              <w:bottom w:val="nil"/>
            </w:tcBorders>
            <w:shd w:val="clear" w:color="auto" w:fill="17365D" w:themeFill="text2" w:themeFillShade="BF"/>
            <w:vAlign w:val="center"/>
          </w:tcPr>
          <w:p w14:paraId="481AE167" w14:textId="77777777" w:rsidR="00525982" w:rsidRPr="002A3B9B" w:rsidRDefault="00525982" w:rsidP="00A1598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vs. YA</w:t>
            </w:r>
          </w:p>
        </w:tc>
        <w:tc>
          <w:tcPr>
            <w:tcW w:w="1333" w:type="dxa"/>
            <w:tcBorders>
              <w:top w:val="nil"/>
              <w:bottom w:val="nil"/>
            </w:tcBorders>
            <w:shd w:val="clear" w:color="auto" w:fill="17365D" w:themeFill="text2" w:themeFillShade="BF"/>
            <w:vAlign w:val="center"/>
          </w:tcPr>
          <w:p w14:paraId="4A45FD44" w14:textId="77777777" w:rsidR="00525982" w:rsidRPr="002A3B9B" w:rsidRDefault="00525982" w:rsidP="00A1598F">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Lbs vs. YA</w:t>
            </w:r>
          </w:p>
        </w:tc>
        <w:tc>
          <w:tcPr>
            <w:tcW w:w="1732" w:type="dxa"/>
            <w:gridSpan w:val="2"/>
            <w:tcBorders>
              <w:top w:val="nil"/>
              <w:bottom w:val="nil"/>
            </w:tcBorders>
            <w:shd w:val="clear" w:color="auto" w:fill="17365D" w:themeFill="text2" w:themeFillShade="BF"/>
            <w:vAlign w:val="center"/>
          </w:tcPr>
          <w:p w14:paraId="7A11F32A" w14:textId="77777777" w:rsidR="00525982" w:rsidRPr="002A3B9B" w:rsidRDefault="00525982" w:rsidP="00A1598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Type</w:t>
            </w:r>
          </w:p>
        </w:tc>
        <w:tc>
          <w:tcPr>
            <w:tcW w:w="990" w:type="dxa"/>
            <w:tcBorders>
              <w:top w:val="nil"/>
              <w:bottom w:val="nil"/>
            </w:tcBorders>
            <w:shd w:val="clear" w:color="auto" w:fill="17365D" w:themeFill="text2" w:themeFillShade="BF"/>
            <w:vAlign w:val="center"/>
          </w:tcPr>
          <w:p w14:paraId="1DAA8DD1" w14:textId="77777777" w:rsidR="00525982" w:rsidRPr="002A3B9B" w:rsidRDefault="00525982" w:rsidP="00A1598F">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sales</w:t>
            </w:r>
          </w:p>
        </w:tc>
        <w:tc>
          <w:tcPr>
            <w:tcW w:w="1277" w:type="dxa"/>
            <w:tcBorders>
              <w:top w:val="nil"/>
              <w:bottom w:val="nil"/>
            </w:tcBorders>
            <w:shd w:val="clear" w:color="auto" w:fill="17365D" w:themeFill="text2" w:themeFillShade="BF"/>
            <w:vAlign w:val="center"/>
          </w:tcPr>
          <w:p w14:paraId="330F52A2" w14:textId="77777777" w:rsidR="00525982" w:rsidRPr="002A3B9B" w:rsidRDefault="00525982" w:rsidP="00A1598F">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vs. YA</w:t>
            </w:r>
          </w:p>
        </w:tc>
        <w:tc>
          <w:tcPr>
            <w:tcW w:w="1333" w:type="dxa"/>
            <w:tcBorders>
              <w:top w:val="nil"/>
              <w:bottom w:val="nil"/>
            </w:tcBorders>
            <w:shd w:val="clear" w:color="auto" w:fill="17365D" w:themeFill="text2" w:themeFillShade="BF"/>
            <w:vAlign w:val="center"/>
          </w:tcPr>
          <w:p w14:paraId="6DE1E42B" w14:textId="77777777" w:rsidR="00525982" w:rsidRPr="002A3B9B" w:rsidRDefault="00525982" w:rsidP="00A1598F">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Lbs vs. YA</w:t>
            </w:r>
          </w:p>
        </w:tc>
      </w:tr>
      <w:tr w:rsidR="009662A7" w:rsidRPr="00E363CB" w14:paraId="7C3DB727" w14:textId="77777777" w:rsidTr="00A1598F">
        <w:trPr>
          <w:trHeight w:val="264"/>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right w:val="nil"/>
            </w:tcBorders>
            <w:vAlign w:val="center"/>
          </w:tcPr>
          <w:p w14:paraId="7B9B826E" w14:textId="0EA063BF" w:rsidR="009662A7" w:rsidRPr="000D0537" w:rsidRDefault="009662A7" w:rsidP="00A1598F">
            <w:pPr>
              <w:pStyle w:val="NoSpacing"/>
              <w:rPr>
                <w:rFonts w:ascii="Arial" w:hAnsi="Arial" w:cs="Arial"/>
                <w:b w:val="0"/>
                <w:bCs w:val="0"/>
                <w:color w:val="000000" w:themeColor="text1"/>
                <w:sz w:val="18"/>
                <w:szCs w:val="18"/>
              </w:rPr>
            </w:pPr>
            <w:r w:rsidRPr="000D0537">
              <w:rPr>
                <w:rFonts w:ascii="Arial" w:hAnsi="Arial" w:cs="Arial"/>
                <w:b w:val="0"/>
                <w:bCs w:val="0"/>
                <w:color w:val="000000" w:themeColor="text1"/>
                <w:sz w:val="18"/>
                <w:szCs w:val="18"/>
              </w:rPr>
              <w:t>Ground beef</w:t>
            </w:r>
          </w:p>
        </w:tc>
        <w:tc>
          <w:tcPr>
            <w:tcW w:w="990" w:type="dxa"/>
            <w:gridSpan w:val="2"/>
            <w:tcBorders>
              <w:top w:val="nil"/>
              <w:left w:val="nil"/>
              <w:bottom w:val="nil"/>
              <w:right w:val="nil"/>
            </w:tcBorders>
            <w:vAlign w:val="center"/>
          </w:tcPr>
          <w:p w14:paraId="17E7B74A" w14:textId="5040FE27" w:rsidR="009662A7" w:rsidRPr="000D0537" w:rsidRDefault="009662A7" w:rsidP="00A1598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BB58CD">
              <w:rPr>
                <w:rFonts w:ascii="Arial" w:hAnsi="Arial" w:cs="Arial"/>
                <w:color w:val="000000"/>
                <w:sz w:val="18"/>
                <w:szCs w:val="18"/>
              </w:rPr>
              <w:t>1.4</w:t>
            </w:r>
            <w:r w:rsidRPr="000D0537">
              <w:rPr>
                <w:rFonts w:ascii="Arial" w:hAnsi="Arial" w:cs="Arial"/>
                <w:color w:val="000000"/>
                <w:sz w:val="18"/>
                <w:szCs w:val="18"/>
              </w:rPr>
              <w:t>B</w:t>
            </w:r>
          </w:p>
        </w:tc>
        <w:tc>
          <w:tcPr>
            <w:tcW w:w="1075" w:type="dxa"/>
            <w:tcBorders>
              <w:top w:val="nil"/>
              <w:left w:val="nil"/>
              <w:bottom w:val="nil"/>
              <w:right w:val="nil"/>
            </w:tcBorders>
            <w:vAlign w:val="center"/>
          </w:tcPr>
          <w:p w14:paraId="2F6F5924" w14:textId="31CA234F" w:rsidR="009662A7" w:rsidRPr="000D0537" w:rsidRDefault="009662A7" w:rsidP="00A1598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3349EB">
              <w:rPr>
                <w:rFonts w:ascii="Arial" w:hAnsi="Arial" w:cs="Arial"/>
                <w:color w:val="000000"/>
                <w:sz w:val="18"/>
                <w:szCs w:val="18"/>
              </w:rPr>
              <w:t>+</w:t>
            </w:r>
            <w:r w:rsidR="00BB58CD">
              <w:rPr>
                <w:rFonts w:ascii="Arial" w:hAnsi="Arial" w:cs="Arial"/>
                <w:color w:val="000000"/>
                <w:sz w:val="18"/>
                <w:szCs w:val="18"/>
              </w:rPr>
              <w:t>11.0</w:t>
            </w:r>
            <w:r w:rsidRPr="003349EB">
              <w:rPr>
                <w:rFonts w:ascii="Arial" w:hAnsi="Arial" w:cs="Arial"/>
                <w:color w:val="000000"/>
                <w:sz w:val="18"/>
                <w:szCs w:val="18"/>
              </w:rPr>
              <w:t>%</w:t>
            </w:r>
          </w:p>
        </w:tc>
        <w:tc>
          <w:tcPr>
            <w:tcW w:w="1333" w:type="dxa"/>
            <w:tcBorders>
              <w:top w:val="nil"/>
              <w:left w:val="nil"/>
              <w:bottom w:val="nil"/>
              <w:right w:val="single" w:sz="4" w:space="0" w:color="31849B" w:themeColor="accent5" w:themeShade="BF"/>
            </w:tcBorders>
            <w:vAlign w:val="center"/>
          </w:tcPr>
          <w:p w14:paraId="5DBB89F3" w14:textId="7ACDED5A" w:rsidR="009662A7" w:rsidRPr="000D0537" w:rsidRDefault="009662A7" w:rsidP="00A1598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3349EB">
              <w:rPr>
                <w:rFonts w:ascii="Arial" w:hAnsi="Arial" w:cs="Arial"/>
                <w:color w:val="000000"/>
                <w:sz w:val="18"/>
                <w:szCs w:val="18"/>
              </w:rPr>
              <w:t>+</w:t>
            </w:r>
            <w:r w:rsidR="00BB58CD">
              <w:rPr>
                <w:rFonts w:ascii="Arial" w:hAnsi="Arial" w:cs="Arial"/>
                <w:color w:val="000000"/>
                <w:sz w:val="18"/>
                <w:szCs w:val="18"/>
              </w:rPr>
              <w:t>1.6</w:t>
            </w:r>
            <w:r w:rsidRPr="003349EB">
              <w:rPr>
                <w:rFonts w:ascii="Arial" w:hAnsi="Arial" w:cs="Arial"/>
                <w:color w:val="000000"/>
                <w:sz w:val="18"/>
                <w:szCs w:val="18"/>
              </w:rPr>
              <w:t>%</w:t>
            </w:r>
          </w:p>
        </w:tc>
        <w:tc>
          <w:tcPr>
            <w:tcW w:w="1732" w:type="dxa"/>
            <w:gridSpan w:val="2"/>
            <w:tcBorders>
              <w:top w:val="nil"/>
              <w:left w:val="single" w:sz="4" w:space="0" w:color="31849B" w:themeColor="accent5" w:themeShade="BF"/>
              <w:bottom w:val="nil"/>
              <w:right w:val="nil"/>
            </w:tcBorders>
            <w:vAlign w:val="center"/>
          </w:tcPr>
          <w:p w14:paraId="7EA8213D" w14:textId="01F943D4" w:rsidR="009662A7" w:rsidRPr="000D0537" w:rsidRDefault="009662A7" w:rsidP="00A1598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D0537">
              <w:rPr>
                <w:rFonts w:ascii="Arial" w:hAnsi="Arial" w:cs="Arial"/>
                <w:color w:val="000000" w:themeColor="text1"/>
                <w:sz w:val="18"/>
                <w:szCs w:val="18"/>
              </w:rPr>
              <w:t>Ground beef</w:t>
            </w:r>
          </w:p>
        </w:tc>
        <w:tc>
          <w:tcPr>
            <w:tcW w:w="990" w:type="dxa"/>
            <w:tcBorders>
              <w:top w:val="nil"/>
              <w:left w:val="nil"/>
              <w:bottom w:val="nil"/>
              <w:right w:val="nil"/>
            </w:tcBorders>
            <w:vAlign w:val="center"/>
          </w:tcPr>
          <w:p w14:paraId="13102BEE" w14:textId="531D6AFE" w:rsidR="009662A7" w:rsidRPr="000D0537" w:rsidRDefault="009662A7" w:rsidP="00A1598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670E2E">
              <w:rPr>
                <w:rFonts w:ascii="Arial" w:hAnsi="Arial" w:cs="Arial"/>
                <w:color w:val="000000" w:themeColor="text1"/>
                <w:sz w:val="18"/>
                <w:szCs w:val="18"/>
              </w:rPr>
              <w:t>$</w:t>
            </w:r>
            <w:r w:rsidR="00BB58CD">
              <w:rPr>
                <w:rFonts w:ascii="Arial" w:hAnsi="Arial" w:cs="Arial"/>
                <w:color w:val="000000" w:themeColor="text1"/>
                <w:sz w:val="18"/>
                <w:szCs w:val="18"/>
              </w:rPr>
              <w:t>18.0</w:t>
            </w:r>
            <w:r w:rsidRPr="00670E2E">
              <w:rPr>
                <w:rFonts w:ascii="Arial" w:hAnsi="Arial" w:cs="Arial"/>
                <w:color w:val="000000" w:themeColor="text1"/>
                <w:sz w:val="18"/>
                <w:szCs w:val="18"/>
              </w:rPr>
              <w:t>B</w:t>
            </w:r>
          </w:p>
        </w:tc>
        <w:tc>
          <w:tcPr>
            <w:tcW w:w="1277" w:type="dxa"/>
            <w:tcBorders>
              <w:top w:val="nil"/>
              <w:left w:val="nil"/>
              <w:bottom w:val="nil"/>
              <w:right w:val="nil"/>
            </w:tcBorders>
            <w:vAlign w:val="center"/>
          </w:tcPr>
          <w:p w14:paraId="6E720C38" w14:textId="78211866" w:rsidR="009662A7" w:rsidRPr="000D0537" w:rsidRDefault="009662A7" w:rsidP="00A1598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B2B10">
              <w:rPr>
                <w:rFonts w:ascii="Arial" w:hAnsi="Arial" w:cs="Arial"/>
                <w:color w:val="000000"/>
                <w:sz w:val="18"/>
                <w:szCs w:val="18"/>
              </w:rPr>
              <w:t>+</w:t>
            </w:r>
            <w:r w:rsidR="00BB58CD">
              <w:rPr>
                <w:rFonts w:ascii="Arial" w:hAnsi="Arial" w:cs="Arial"/>
                <w:color w:val="000000"/>
                <w:sz w:val="18"/>
                <w:szCs w:val="18"/>
              </w:rPr>
              <w:t>14.3</w:t>
            </w:r>
            <w:r w:rsidRPr="009B2B10">
              <w:rPr>
                <w:rFonts w:ascii="Arial" w:hAnsi="Arial" w:cs="Arial"/>
                <w:color w:val="000000"/>
                <w:sz w:val="18"/>
                <w:szCs w:val="18"/>
              </w:rPr>
              <w:t>%</w:t>
            </w:r>
          </w:p>
        </w:tc>
        <w:tc>
          <w:tcPr>
            <w:tcW w:w="1333" w:type="dxa"/>
            <w:tcBorders>
              <w:top w:val="nil"/>
              <w:left w:val="nil"/>
              <w:bottom w:val="nil"/>
            </w:tcBorders>
            <w:vAlign w:val="center"/>
          </w:tcPr>
          <w:p w14:paraId="284BBA7B" w14:textId="28BDF068" w:rsidR="009662A7" w:rsidRPr="000D0537" w:rsidRDefault="009662A7" w:rsidP="00A1598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39F0">
              <w:rPr>
                <w:rFonts w:ascii="Arial" w:hAnsi="Arial" w:cs="Arial"/>
                <w:color w:val="000000"/>
                <w:sz w:val="18"/>
                <w:szCs w:val="18"/>
              </w:rPr>
              <w:t>+</w:t>
            </w:r>
            <w:r w:rsidR="00BB58CD">
              <w:rPr>
                <w:rFonts w:ascii="Arial" w:hAnsi="Arial" w:cs="Arial"/>
                <w:color w:val="000000"/>
                <w:sz w:val="18"/>
                <w:szCs w:val="18"/>
              </w:rPr>
              <w:t>2.8</w:t>
            </w:r>
            <w:r w:rsidRPr="009939F0">
              <w:rPr>
                <w:rFonts w:ascii="Arial" w:hAnsi="Arial" w:cs="Arial"/>
                <w:color w:val="000000"/>
                <w:sz w:val="18"/>
                <w:szCs w:val="18"/>
              </w:rPr>
              <w:t>%</w:t>
            </w:r>
          </w:p>
        </w:tc>
      </w:tr>
      <w:tr w:rsidR="009662A7" w:rsidRPr="00FB41A2" w14:paraId="2937B14D" w14:textId="77777777" w:rsidTr="00A1598F">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D9D9D9" w:themeFill="background1" w:themeFillShade="D9"/>
            <w:vAlign w:val="center"/>
          </w:tcPr>
          <w:p w14:paraId="66A85564" w14:textId="5C2B02EC" w:rsidR="009662A7" w:rsidRPr="000D0537" w:rsidRDefault="009662A7" w:rsidP="00A1598F">
            <w:pPr>
              <w:pStyle w:val="NoSpacing"/>
              <w:rPr>
                <w:rFonts w:ascii="Arial" w:hAnsi="Arial" w:cs="Arial"/>
                <w:b w:val="0"/>
                <w:bCs w:val="0"/>
                <w:color w:val="000000" w:themeColor="text1"/>
                <w:sz w:val="18"/>
                <w:szCs w:val="18"/>
              </w:rPr>
            </w:pPr>
            <w:r w:rsidRPr="000D0537">
              <w:rPr>
                <w:rFonts w:ascii="Arial" w:hAnsi="Arial" w:cs="Arial"/>
                <w:b w:val="0"/>
                <w:bCs w:val="0"/>
                <w:color w:val="000000" w:themeColor="text1"/>
                <w:sz w:val="18"/>
                <w:szCs w:val="18"/>
              </w:rPr>
              <w:t>Ground turkey</w:t>
            </w:r>
          </w:p>
        </w:tc>
        <w:tc>
          <w:tcPr>
            <w:tcW w:w="990" w:type="dxa"/>
            <w:gridSpan w:val="2"/>
            <w:tcBorders>
              <w:top w:val="nil"/>
              <w:bottom w:val="nil"/>
            </w:tcBorders>
            <w:shd w:val="clear" w:color="auto" w:fill="D9D9D9" w:themeFill="background1" w:themeFillShade="D9"/>
            <w:vAlign w:val="center"/>
          </w:tcPr>
          <w:p w14:paraId="62E0D1D7" w14:textId="36E7FBC7" w:rsidR="009662A7" w:rsidRPr="000D0537" w:rsidRDefault="009662A7" w:rsidP="00A1598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EF0AB9">
              <w:rPr>
                <w:rFonts w:ascii="Arial" w:hAnsi="Arial" w:cs="Arial"/>
                <w:color w:val="auto"/>
                <w:sz w:val="18"/>
                <w:szCs w:val="18"/>
              </w:rPr>
              <w:t>$</w:t>
            </w:r>
            <w:r w:rsidR="00BB58CD">
              <w:rPr>
                <w:rFonts w:ascii="Arial" w:hAnsi="Arial" w:cs="Arial"/>
                <w:color w:val="auto"/>
                <w:sz w:val="18"/>
                <w:szCs w:val="18"/>
              </w:rPr>
              <w:t>167</w:t>
            </w:r>
            <w:r w:rsidRPr="00EF0AB9">
              <w:rPr>
                <w:rFonts w:ascii="Arial" w:hAnsi="Arial" w:cs="Arial"/>
                <w:color w:val="auto"/>
                <w:sz w:val="18"/>
                <w:szCs w:val="18"/>
              </w:rPr>
              <w:t>M</w:t>
            </w:r>
          </w:p>
        </w:tc>
        <w:tc>
          <w:tcPr>
            <w:tcW w:w="1075" w:type="dxa"/>
            <w:tcBorders>
              <w:top w:val="nil"/>
              <w:bottom w:val="nil"/>
            </w:tcBorders>
            <w:shd w:val="clear" w:color="auto" w:fill="D9D9D9" w:themeFill="background1" w:themeFillShade="D9"/>
            <w:vAlign w:val="center"/>
          </w:tcPr>
          <w:p w14:paraId="65DF1040" w14:textId="38375D6D" w:rsidR="009662A7" w:rsidRPr="000D0537" w:rsidRDefault="009662A7" w:rsidP="00A1598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93737B">
              <w:rPr>
                <w:rFonts w:ascii="Arial" w:hAnsi="Arial" w:cs="Arial"/>
                <w:color w:val="000000"/>
                <w:sz w:val="18"/>
                <w:szCs w:val="18"/>
              </w:rPr>
              <w:t>+</w:t>
            </w:r>
            <w:r w:rsidR="00BB58CD">
              <w:rPr>
                <w:rFonts w:ascii="Arial" w:hAnsi="Arial" w:cs="Arial"/>
                <w:color w:val="000000"/>
                <w:sz w:val="18"/>
                <w:szCs w:val="18"/>
              </w:rPr>
              <w:t>10.4</w:t>
            </w:r>
            <w:r w:rsidRPr="0093737B">
              <w:rPr>
                <w:rFonts w:ascii="Arial" w:hAnsi="Arial" w:cs="Arial"/>
                <w:color w:val="000000"/>
                <w:sz w:val="18"/>
                <w:szCs w:val="18"/>
              </w:rPr>
              <w:t>%</w:t>
            </w:r>
          </w:p>
        </w:tc>
        <w:tc>
          <w:tcPr>
            <w:tcW w:w="1333" w:type="dxa"/>
            <w:tcBorders>
              <w:top w:val="nil"/>
              <w:bottom w:val="nil"/>
              <w:right w:val="single" w:sz="4" w:space="0" w:color="31849B" w:themeColor="accent5" w:themeShade="BF"/>
            </w:tcBorders>
            <w:shd w:val="clear" w:color="auto" w:fill="D9D9D9" w:themeFill="background1" w:themeFillShade="D9"/>
            <w:vAlign w:val="center"/>
          </w:tcPr>
          <w:p w14:paraId="397F5DB6" w14:textId="19A9A8EA" w:rsidR="009662A7" w:rsidRPr="000D0537" w:rsidRDefault="009662A7" w:rsidP="00A1598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w:t>
            </w:r>
            <w:r w:rsidR="00BB58CD">
              <w:rPr>
                <w:rFonts w:ascii="Arial" w:hAnsi="Arial" w:cs="Arial"/>
                <w:color w:val="000000"/>
                <w:sz w:val="18"/>
                <w:szCs w:val="18"/>
              </w:rPr>
              <w:t>4.4</w:t>
            </w:r>
            <w:r w:rsidRPr="0093737B">
              <w:rPr>
                <w:rFonts w:ascii="Arial" w:hAnsi="Arial" w:cs="Arial"/>
                <w:color w:val="000000"/>
                <w:sz w:val="18"/>
                <w:szCs w:val="18"/>
              </w:rPr>
              <w:t>%</w:t>
            </w:r>
          </w:p>
        </w:tc>
        <w:tc>
          <w:tcPr>
            <w:tcW w:w="1732" w:type="dxa"/>
            <w:gridSpan w:val="2"/>
            <w:tcBorders>
              <w:top w:val="nil"/>
              <w:left w:val="single" w:sz="4" w:space="0" w:color="31849B" w:themeColor="accent5" w:themeShade="BF"/>
              <w:bottom w:val="nil"/>
            </w:tcBorders>
            <w:shd w:val="clear" w:color="auto" w:fill="D9D9D9" w:themeFill="background1" w:themeFillShade="D9"/>
            <w:vAlign w:val="center"/>
          </w:tcPr>
          <w:p w14:paraId="663AEF9F" w14:textId="2332D2BC" w:rsidR="009662A7" w:rsidRPr="000D0537" w:rsidRDefault="009662A7" w:rsidP="00A1598F">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0D0537">
              <w:rPr>
                <w:rFonts w:ascii="Arial" w:hAnsi="Arial" w:cs="Arial"/>
                <w:color w:val="000000" w:themeColor="text1"/>
                <w:sz w:val="18"/>
                <w:szCs w:val="18"/>
              </w:rPr>
              <w:t>Ground turkey</w:t>
            </w:r>
          </w:p>
        </w:tc>
        <w:tc>
          <w:tcPr>
            <w:tcW w:w="990" w:type="dxa"/>
            <w:tcBorders>
              <w:top w:val="nil"/>
              <w:bottom w:val="nil"/>
            </w:tcBorders>
            <w:shd w:val="clear" w:color="auto" w:fill="D9D9D9" w:themeFill="background1" w:themeFillShade="D9"/>
            <w:vAlign w:val="center"/>
          </w:tcPr>
          <w:p w14:paraId="7E07A52A" w14:textId="201F04DD" w:rsidR="009662A7" w:rsidRPr="000D0537" w:rsidRDefault="009662A7" w:rsidP="00A159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670E2E">
              <w:rPr>
                <w:rFonts w:ascii="Arial" w:hAnsi="Arial" w:cs="Arial"/>
                <w:color w:val="000000" w:themeColor="text1"/>
                <w:sz w:val="18"/>
                <w:szCs w:val="18"/>
              </w:rPr>
              <w:t>$</w:t>
            </w:r>
            <w:r w:rsidR="00BB58CD">
              <w:rPr>
                <w:rFonts w:ascii="Arial" w:hAnsi="Arial" w:cs="Arial"/>
                <w:color w:val="000000" w:themeColor="text1"/>
                <w:sz w:val="18"/>
                <w:szCs w:val="18"/>
              </w:rPr>
              <w:t>2.1</w:t>
            </w:r>
            <w:r w:rsidRPr="00670E2E">
              <w:rPr>
                <w:rFonts w:ascii="Arial" w:hAnsi="Arial" w:cs="Arial"/>
                <w:color w:val="000000" w:themeColor="text1"/>
                <w:sz w:val="18"/>
                <w:szCs w:val="18"/>
              </w:rPr>
              <w:t>B</w:t>
            </w:r>
          </w:p>
        </w:tc>
        <w:tc>
          <w:tcPr>
            <w:tcW w:w="1277" w:type="dxa"/>
            <w:tcBorders>
              <w:top w:val="nil"/>
              <w:bottom w:val="nil"/>
            </w:tcBorders>
            <w:shd w:val="clear" w:color="auto" w:fill="D9D9D9" w:themeFill="background1" w:themeFillShade="D9"/>
            <w:vAlign w:val="center"/>
          </w:tcPr>
          <w:p w14:paraId="06582683" w14:textId="0EDFAF1D" w:rsidR="009662A7" w:rsidRPr="000D0537" w:rsidRDefault="009662A7" w:rsidP="00A159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B2B10">
              <w:rPr>
                <w:rFonts w:ascii="Arial" w:hAnsi="Arial" w:cs="Arial"/>
                <w:color w:val="000000"/>
                <w:sz w:val="18"/>
                <w:szCs w:val="18"/>
              </w:rPr>
              <w:t>+</w:t>
            </w:r>
            <w:r w:rsidR="00BB58CD">
              <w:rPr>
                <w:rFonts w:ascii="Arial" w:hAnsi="Arial" w:cs="Arial"/>
                <w:color w:val="000000"/>
                <w:sz w:val="18"/>
                <w:szCs w:val="18"/>
              </w:rPr>
              <w:t>7.5</w:t>
            </w:r>
            <w:r w:rsidRPr="009B2B10">
              <w:rPr>
                <w:rFonts w:ascii="Arial" w:hAnsi="Arial" w:cs="Arial"/>
                <w:color w:val="000000"/>
                <w:sz w:val="18"/>
                <w:szCs w:val="18"/>
              </w:rPr>
              <w:t>%</w:t>
            </w:r>
          </w:p>
        </w:tc>
        <w:tc>
          <w:tcPr>
            <w:tcW w:w="1333" w:type="dxa"/>
            <w:tcBorders>
              <w:top w:val="nil"/>
              <w:bottom w:val="nil"/>
            </w:tcBorders>
            <w:shd w:val="clear" w:color="auto" w:fill="D9D9D9" w:themeFill="background1" w:themeFillShade="D9"/>
            <w:vAlign w:val="center"/>
          </w:tcPr>
          <w:p w14:paraId="7ECA1294" w14:textId="03B18046" w:rsidR="009662A7" w:rsidRPr="000D0537" w:rsidRDefault="009662A7" w:rsidP="00A159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BB58CD">
              <w:rPr>
                <w:rFonts w:ascii="Arial" w:hAnsi="Arial" w:cs="Arial"/>
                <w:color w:val="000000"/>
                <w:sz w:val="18"/>
                <w:szCs w:val="18"/>
              </w:rPr>
              <w:t>3.4</w:t>
            </w:r>
            <w:r w:rsidRPr="009939F0">
              <w:rPr>
                <w:rFonts w:ascii="Arial" w:hAnsi="Arial" w:cs="Arial"/>
                <w:color w:val="000000"/>
                <w:sz w:val="18"/>
                <w:szCs w:val="18"/>
              </w:rPr>
              <w:t>%</w:t>
            </w:r>
          </w:p>
        </w:tc>
      </w:tr>
      <w:tr w:rsidR="009662A7" w:rsidRPr="00525982" w14:paraId="748604F9" w14:textId="77777777" w:rsidTr="00A1598F">
        <w:trPr>
          <w:trHeight w:val="264"/>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vAlign w:val="center"/>
          </w:tcPr>
          <w:p w14:paraId="6374529F" w14:textId="77777777" w:rsidR="009662A7" w:rsidRPr="000D0537" w:rsidRDefault="009662A7" w:rsidP="00A1598F">
            <w:pPr>
              <w:pStyle w:val="NoSpacing"/>
              <w:rPr>
                <w:rFonts w:ascii="Arial" w:hAnsi="Arial" w:cs="Arial"/>
                <w:b w:val="0"/>
                <w:bCs w:val="0"/>
                <w:color w:val="000000" w:themeColor="text1"/>
                <w:sz w:val="18"/>
                <w:szCs w:val="18"/>
              </w:rPr>
            </w:pPr>
            <w:r w:rsidRPr="000D0537">
              <w:rPr>
                <w:rFonts w:ascii="Arial" w:hAnsi="Arial" w:cs="Arial"/>
                <w:b w:val="0"/>
                <w:bCs w:val="0"/>
                <w:color w:val="000000" w:themeColor="text1"/>
                <w:sz w:val="18"/>
                <w:szCs w:val="18"/>
              </w:rPr>
              <w:t>Ground chicken</w:t>
            </w:r>
          </w:p>
        </w:tc>
        <w:tc>
          <w:tcPr>
            <w:tcW w:w="990" w:type="dxa"/>
            <w:gridSpan w:val="2"/>
            <w:tcBorders>
              <w:top w:val="nil"/>
              <w:bottom w:val="nil"/>
            </w:tcBorders>
            <w:vAlign w:val="center"/>
          </w:tcPr>
          <w:p w14:paraId="0092817F" w14:textId="707CE7D6" w:rsidR="009662A7" w:rsidRPr="000D0537" w:rsidRDefault="009662A7" w:rsidP="00A1598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EF0AB9">
              <w:rPr>
                <w:rFonts w:ascii="Arial" w:hAnsi="Arial" w:cs="Arial"/>
                <w:color w:val="auto"/>
                <w:sz w:val="18"/>
                <w:szCs w:val="18"/>
              </w:rPr>
              <w:t>$</w:t>
            </w:r>
            <w:r w:rsidR="00BB58CD">
              <w:rPr>
                <w:rFonts w:ascii="Arial" w:hAnsi="Arial" w:cs="Arial"/>
                <w:color w:val="auto"/>
                <w:sz w:val="18"/>
                <w:szCs w:val="18"/>
              </w:rPr>
              <w:t>41</w:t>
            </w:r>
            <w:r w:rsidRPr="00EF0AB9">
              <w:rPr>
                <w:rFonts w:ascii="Arial" w:hAnsi="Arial" w:cs="Arial"/>
                <w:color w:val="auto"/>
                <w:sz w:val="18"/>
                <w:szCs w:val="18"/>
              </w:rPr>
              <w:t>M</w:t>
            </w:r>
          </w:p>
        </w:tc>
        <w:tc>
          <w:tcPr>
            <w:tcW w:w="1075" w:type="dxa"/>
            <w:tcBorders>
              <w:top w:val="nil"/>
              <w:bottom w:val="nil"/>
            </w:tcBorders>
            <w:vAlign w:val="center"/>
          </w:tcPr>
          <w:p w14:paraId="0F7E8F8D" w14:textId="5D190F43" w:rsidR="009662A7" w:rsidRPr="000D0537" w:rsidRDefault="009662A7" w:rsidP="00A1598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1F341F">
              <w:rPr>
                <w:rFonts w:ascii="Arial" w:hAnsi="Arial" w:cs="Arial"/>
                <w:color w:val="000000"/>
                <w:sz w:val="18"/>
                <w:szCs w:val="18"/>
              </w:rPr>
              <w:t>+</w:t>
            </w:r>
            <w:r w:rsidR="00BB58CD">
              <w:rPr>
                <w:rFonts w:ascii="Arial" w:hAnsi="Arial" w:cs="Arial"/>
                <w:color w:val="000000"/>
                <w:sz w:val="18"/>
                <w:szCs w:val="18"/>
              </w:rPr>
              <w:t>40.8</w:t>
            </w:r>
            <w:r w:rsidRPr="001F341F">
              <w:rPr>
                <w:rFonts w:ascii="Arial" w:hAnsi="Arial" w:cs="Arial"/>
                <w:color w:val="000000"/>
                <w:sz w:val="18"/>
                <w:szCs w:val="18"/>
              </w:rPr>
              <w:t>%</w:t>
            </w:r>
          </w:p>
        </w:tc>
        <w:tc>
          <w:tcPr>
            <w:tcW w:w="1333" w:type="dxa"/>
            <w:tcBorders>
              <w:top w:val="nil"/>
              <w:bottom w:val="nil"/>
              <w:right w:val="single" w:sz="4" w:space="0" w:color="31849B" w:themeColor="accent5" w:themeShade="BF"/>
            </w:tcBorders>
            <w:vAlign w:val="center"/>
          </w:tcPr>
          <w:p w14:paraId="0555C05C" w14:textId="23A82096" w:rsidR="009662A7" w:rsidRPr="000D0537" w:rsidRDefault="009662A7" w:rsidP="00A1598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1F341F">
              <w:rPr>
                <w:rFonts w:ascii="Arial" w:hAnsi="Arial" w:cs="Arial"/>
                <w:color w:val="000000"/>
                <w:sz w:val="18"/>
                <w:szCs w:val="18"/>
              </w:rPr>
              <w:t>+</w:t>
            </w:r>
            <w:r w:rsidR="00BB58CD">
              <w:rPr>
                <w:rFonts w:ascii="Arial" w:hAnsi="Arial" w:cs="Arial"/>
                <w:color w:val="000000"/>
                <w:sz w:val="18"/>
                <w:szCs w:val="18"/>
              </w:rPr>
              <w:t>34.1</w:t>
            </w:r>
            <w:r w:rsidRPr="001F341F">
              <w:rPr>
                <w:rFonts w:ascii="Arial" w:hAnsi="Arial" w:cs="Arial"/>
                <w:color w:val="000000"/>
                <w:sz w:val="18"/>
                <w:szCs w:val="18"/>
              </w:rPr>
              <w:t>%</w:t>
            </w:r>
          </w:p>
        </w:tc>
        <w:tc>
          <w:tcPr>
            <w:tcW w:w="1732" w:type="dxa"/>
            <w:gridSpan w:val="2"/>
            <w:tcBorders>
              <w:top w:val="nil"/>
              <w:left w:val="single" w:sz="4" w:space="0" w:color="31849B" w:themeColor="accent5" w:themeShade="BF"/>
              <w:bottom w:val="nil"/>
            </w:tcBorders>
            <w:vAlign w:val="center"/>
          </w:tcPr>
          <w:p w14:paraId="45C147E0" w14:textId="6BAC8EA0" w:rsidR="009662A7" w:rsidRPr="000D0537" w:rsidRDefault="009662A7" w:rsidP="00A1598F">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0D0537">
              <w:rPr>
                <w:rFonts w:ascii="Arial" w:hAnsi="Arial" w:cs="Arial"/>
                <w:color w:val="000000" w:themeColor="text1"/>
                <w:sz w:val="18"/>
                <w:szCs w:val="18"/>
              </w:rPr>
              <w:t>Ground chicken</w:t>
            </w:r>
          </w:p>
        </w:tc>
        <w:tc>
          <w:tcPr>
            <w:tcW w:w="990" w:type="dxa"/>
            <w:tcBorders>
              <w:top w:val="nil"/>
              <w:bottom w:val="nil"/>
            </w:tcBorders>
            <w:vAlign w:val="center"/>
          </w:tcPr>
          <w:p w14:paraId="22EF3248" w14:textId="7154D209" w:rsidR="009662A7" w:rsidRPr="000D0537" w:rsidRDefault="009662A7" w:rsidP="00A1598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BD74B0">
              <w:rPr>
                <w:rFonts w:ascii="Arial" w:hAnsi="Arial" w:cs="Arial"/>
                <w:color w:val="auto"/>
                <w:sz w:val="18"/>
                <w:szCs w:val="18"/>
              </w:rPr>
              <w:t>$</w:t>
            </w:r>
            <w:r w:rsidR="00BB58CD">
              <w:rPr>
                <w:rFonts w:ascii="Arial" w:hAnsi="Arial" w:cs="Arial"/>
                <w:color w:val="auto"/>
                <w:sz w:val="18"/>
                <w:szCs w:val="18"/>
              </w:rPr>
              <w:t>449</w:t>
            </w:r>
            <w:r w:rsidRPr="00BD74B0">
              <w:rPr>
                <w:rFonts w:ascii="Arial" w:hAnsi="Arial" w:cs="Arial"/>
                <w:color w:val="auto"/>
                <w:sz w:val="18"/>
                <w:szCs w:val="18"/>
              </w:rPr>
              <w:t>M</w:t>
            </w:r>
          </w:p>
        </w:tc>
        <w:tc>
          <w:tcPr>
            <w:tcW w:w="1277" w:type="dxa"/>
            <w:tcBorders>
              <w:top w:val="nil"/>
              <w:bottom w:val="nil"/>
            </w:tcBorders>
            <w:vAlign w:val="center"/>
          </w:tcPr>
          <w:p w14:paraId="4D68C47B" w14:textId="19079F79" w:rsidR="009662A7" w:rsidRPr="000D0537" w:rsidRDefault="009662A7" w:rsidP="00A1598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B2B10">
              <w:rPr>
                <w:rFonts w:ascii="Arial" w:hAnsi="Arial" w:cs="Arial"/>
                <w:color w:val="000000"/>
                <w:sz w:val="18"/>
                <w:szCs w:val="18"/>
              </w:rPr>
              <w:t>+</w:t>
            </w:r>
            <w:r w:rsidR="00BB58CD">
              <w:rPr>
                <w:rFonts w:ascii="Arial" w:hAnsi="Arial" w:cs="Arial"/>
                <w:color w:val="000000"/>
                <w:sz w:val="18"/>
                <w:szCs w:val="18"/>
              </w:rPr>
              <w:t>32.8</w:t>
            </w:r>
            <w:r w:rsidRPr="009B2B10">
              <w:rPr>
                <w:rFonts w:ascii="Arial" w:hAnsi="Arial" w:cs="Arial"/>
                <w:color w:val="000000"/>
                <w:sz w:val="18"/>
                <w:szCs w:val="18"/>
              </w:rPr>
              <w:t>%</w:t>
            </w:r>
          </w:p>
        </w:tc>
        <w:tc>
          <w:tcPr>
            <w:tcW w:w="1333" w:type="dxa"/>
            <w:tcBorders>
              <w:top w:val="nil"/>
              <w:bottom w:val="nil"/>
            </w:tcBorders>
            <w:vAlign w:val="center"/>
          </w:tcPr>
          <w:p w14:paraId="474671BC" w14:textId="329A01F0" w:rsidR="009662A7" w:rsidRPr="000D0537" w:rsidRDefault="009662A7" w:rsidP="00A1598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7C13C2">
              <w:rPr>
                <w:rFonts w:ascii="Arial" w:hAnsi="Arial" w:cs="Arial"/>
                <w:color w:val="000000"/>
                <w:sz w:val="18"/>
                <w:szCs w:val="18"/>
              </w:rPr>
              <w:t>+</w:t>
            </w:r>
            <w:r w:rsidR="00BB58CD">
              <w:rPr>
                <w:rFonts w:ascii="Arial" w:hAnsi="Arial" w:cs="Arial"/>
                <w:color w:val="000000"/>
                <w:sz w:val="18"/>
                <w:szCs w:val="18"/>
              </w:rPr>
              <w:t>31.0</w:t>
            </w:r>
            <w:r w:rsidRPr="007C13C2">
              <w:rPr>
                <w:rFonts w:ascii="Arial" w:hAnsi="Arial" w:cs="Arial"/>
                <w:color w:val="000000"/>
                <w:sz w:val="18"/>
                <w:szCs w:val="18"/>
              </w:rPr>
              <w:t>%</w:t>
            </w:r>
          </w:p>
        </w:tc>
      </w:tr>
      <w:tr w:rsidR="009662A7" w:rsidRPr="00FB41A2" w14:paraId="22B1D63C" w14:textId="77777777" w:rsidTr="00A1598F">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D9D9D9" w:themeFill="background1" w:themeFillShade="D9"/>
            <w:vAlign w:val="center"/>
          </w:tcPr>
          <w:p w14:paraId="553A0525" w14:textId="77777777" w:rsidR="009662A7" w:rsidRPr="000D0537" w:rsidRDefault="009662A7" w:rsidP="00A1598F">
            <w:pPr>
              <w:pStyle w:val="NoSpacing"/>
              <w:rPr>
                <w:rFonts w:ascii="Arial" w:hAnsi="Arial" w:cs="Arial"/>
                <w:b w:val="0"/>
                <w:bCs w:val="0"/>
                <w:color w:val="000000" w:themeColor="text1"/>
                <w:sz w:val="18"/>
                <w:szCs w:val="18"/>
              </w:rPr>
            </w:pPr>
            <w:r w:rsidRPr="000D0537">
              <w:rPr>
                <w:rFonts w:ascii="Arial" w:hAnsi="Arial" w:cs="Arial"/>
                <w:b w:val="0"/>
                <w:bCs w:val="0"/>
                <w:color w:val="000000" w:themeColor="text1"/>
                <w:sz w:val="18"/>
                <w:szCs w:val="18"/>
              </w:rPr>
              <w:t>Ground pork</w:t>
            </w:r>
          </w:p>
        </w:tc>
        <w:tc>
          <w:tcPr>
            <w:tcW w:w="990" w:type="dxa"/>
            <w:gridSpan w:val="2"/>
            <w:tcBorders>
              <w:top w:val="nil"/>
              <w:bottom w:val="nil"/>
            </w:tcBorders>
            <w:shd w:val="clear" w:color="auto" w:fill="D9D9D9" w:themeFill="background1" w:themeFillShade="D9"/>
            <w:vAlign w:val="center"/>
          </w:tcPr>
          <w:p w14:paraId="2DE43083" w14:textId="0BFAA9F1" w:rsidR="009662A7" w:rsidRPr="000D0537" w:rsidRDefault="009662A7" w:rsidP="00A1598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EF0AB9">
              <w:rPr>
                <w:rFonts w:ascii="Arial" w:hAnsi="Arial" w:cs="Arial"/>
                <w:color w:val="auto"/>
                <w:sz w:val="18"/>
                <w:szCs w:val="18"/>
              </w:rPr>
              <w:t>$</w:t>
            </w:r>
            <w:r w:rsidR="00BB58CD">
              <w:rPr>
                <w:rFonts w:ascii="Arial" w:hAnsi="Arial" w:cs="Arial"/>
                <w:color w:val="auto"/>
                <w:sz w:val="18"/>
                <w:szCs w:val="18"/>
              </w:rPr>
              <w:t>18</w:t>
            </w:r>
            <w:r w:rsidRPr="00EF0AB9">
              <w:rPr>
                <w:rFonts w:ascii="Arial" w:hAnsi="Arial" w:cs="Arial"/>
                <w:color w:val="auto"/>
                <w:sz w:val="18"/>
                <w:szCs w:val="18"/>
              </w:rPr>
              <w:t>M</w:t>
            </w:r>
          </w:p>
        </w:tc>
        <w:tc>
          <w:tcPr>
            <w:tcW w:w="1075" w:type="dxa"/>
            <w:tcBorders>
              <w:top w:val="nil"/>
              <w:bottom w:val="nil"/>
            </w:tcBorders>
            <w:shd w:val="clear" w:color="auto" w:fill="D9D9D9" w:themeFill="background1" w:themeFillShade="D9"/>
            <w:vAlign w:val="center"/>
          </w:tcPr>
          <w:p w14:paraId="2625E3CA" w14:textId="463EADD6" w:rsidR="009662A7" w:rsidRPr="000D0537" w:rsidRDefault="009662A7" w:rsidP="00A1598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1F341F">
              <w:rPr>
                <w:rFonts w:ascii="Arial" w:hAnsi="Arial" w:cs="Arial"/>
                <w:color w:val="000000"/>
                <w:sz w:val="18"/>
                <w:szCs w:val="18"/>
              </w:rPr>
              <w:t>+</w:t>
            </w:r>
            <w:r w:rsidR="00BB58CD">
              <w:rPr>
                <w:rFonts w:ascii="Arial" w:hAnsi="Arial" w:cs="Arial"/>
                <w:color w:val="000000"/>
                <w:sz w:val="18"/>
                <w:szCs w:val="18"/>
              </w:rPr>
              <w:t>4.9</w:t>
            </w:r>
            <w:r w:rsidRPr="001F341F">
              <w:rPr>
                <w:rFonts w:ascii="Arial" w:hAnsi="Arial" w:cs="Arial"/>
                <w:color w:val="000000"/>
                <w:sz w:val="18"/>
                <w:szCs w:val="18"/>
              </w:rPr>
              <w:t>%</w:t>
            </w:r>
          </w:p>
        </w:tc>
        <w:tc>
          <w:tcPr>
            <w:tcW w:w="1333" w:type="dxa"/>
            <w:tcBorders>
              <w:top w:val="nil"/>
              <w:bottom w:val="nil"/>
              <w:right w:val="single" w:sz="4" w:space="0" w:color="31849B" w:themeColor="accent5" w:themeShade="BF"/>
            </w:tcBorders>
            <w:shd w:val="clear" w:color="auto" w:fill="D9D9D9" w:themeFill="background1" w:themeFillShade="D9"/>
            <w:vAlign w:val="center"/>
          </w:tcPr>
          <w:p w14:paraId="16A079D4" w14:textId="4D85F61B" w:rsidR="009662A7" w:rsidRPr="000D0537" w:rsidRDefault="009662A7" w:rsidP="00A1598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1F341F">
              <w:rPr>
                <w:rFonts w:ascii="Arial" w:hAnsi="Arial" w:cs="Arial"/>
                <w:color w:val="000000"/>
                <w:sz w:val="18"/>
                <w:szCs w:val="18"/>
              </w:rPr>
              <w:t>+</w:t>
            </w:r>
            <w:r w:rsidR="00BB58CD">
              <w:rPr>
                <w:rFonts w:ascii="Arial" w:hAnsi="Arial" w:cs="Arial"/>
                <w:color w:val="000000"/>
                <w:sz w:val="18"/>
                <w:szCs w:val="18"/>
              </w:rPr>
              <w:t>4.8</w:t>
            </w:r>
            <w:r w:rsidRPr="001F341F">
              <w:rPr>
                <w:rFonts w:ascii="Arial" w:hAnsi="Arial" w:cs="Arial"/>
                <w:color w:val="000000"/>
                <w:sz w:val="18"/>
                <w:szCs w:val="18"/>
              </w:rPr>
              <w:t>%</w:t>
            </w:r>
          </w:p>
        </w:tc>
        <w:tc>
          <w:tcPr>
            <w:tcW w:w="1732" w:type="dxa"/>
            <w:gridSpan w:val="2"/>
            <w:tcBorders>
              <w:top w:val="nil"/>
              <w:left w:val="single" w:sz="4" w:space="0" w:color="31849B" w:themeColor="accent5" w:themeShade="BF"/>
              <w:bottom w:val="nil"/>
            </w:tcBorders>
            <w:shd w:val="clear" w:color="auto" w:fill="D9D9D9" w:themeFill="background1" w:themeFillShade="D9"/>
            <w:vAlign w:val="center"/>
          </w:tcPr>
          <w:p w14:paraId="256E6B65" w14:textId="026B8B23" w:rsidR="009662A7" w:rsidRPr="000D0537" w:rsidRDefault="009662A7" w:rsidP="00A1598F">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0D0537">
              <w:rPr>
                <w:rFonts w:ascii="Arial" w:hAnsi="Arial" w:cs="Arial"/>
                <w:color w:val="000000" w:themeColor="text1"/>
                <w:sz w:val="18"/>
                <w:szCs w:val="18"/>
              </w:rPr>
              <w:t>Ground pork</w:t>
            </w:r>
          </w:p>
        </w:tc>
        <w:tc>
          <w:tcPr>
            <w:tcW w:w="990" w:type="dxa"/>
            <w:tcBorders>
              <w:top w:val="nil"/>
              <w:bottom w:val="nil"/>
            </w:tcBorders>
            <w:shd w:val="clear" w:color="auto" w:fill="D9D9D9" w:themeFill="background1" w:themeFillShade="D9"/>
            <w:vAlign w:val="center"/>
          </w:tcPr>
          <w:p w14:paraId="181AD012" w14:textId="4F434EF0" w:rsidR="009662A7" w:rsidRPr="000D0537" w:rsidRDefault="009662A7" w:rsidP="00A159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BD74B0">
              <w:rPr>
                <w:rFonts w:ascii="Arial" w:hAnsi="Arial" w:cs="Arial"/>
                <w:color w:val="auto"/>
                <w:sz w:val="18"/>
                <w:szCs w:val="18"/>
              </w:rPr>
              <w:t>$</w:t>
            </w:r>
            <w:r w:rsidR="00BB58CD">
              <w:rPr>
                <w:rFonts w:ascii="Arial" w:hAnsi="Arial" w:cs="Arial"/>
                <w:color w:val="auto"/>
                <w:sz w:val="18"/>
                <w:szCs w:val="18"/>
              </w:rPr>
              <w:t>237</w:t>
            </w:r>
            <w:r w:rsidRPr="00BD74B0">
              <w:rPr>
                <w:rFonts w:ascii="Arial" w:hAnsi="Arial" w:cs="Arial"/>
                <w:color w:val="auto"/>
                <w:sz w:val="18"/>
                <w:szCs w:val="18"/>
              </w:rPr>
              <w:t>M</w:t>
            </w:r>
          </w:p>
        </w:tc>
        <w:tc>
          <w:tcPr>
            <w:tcW w:w="1277" w:type="dxa"/>
            <w:tcBorders>
              <w:top w:val="nil"/>
              <w:bottom w:val="nil"/>
            </w:tcBorders>
            <w:shd w:val="clear" w:color="auto" w:fill="D9D9D9" w:themeFill="background1" w:themeFillShade="D9"/>
            <w:vAlign w:val="center"/>
          </w:tcPr>
          <w:p w14:paraId="57ACF5DD" w14:textId="15DE28E1" w:rsidR="009662A7" w:rsidRPr="000D0537" w:rsidRDefault="009662A7" w:rsidP="00A159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B2B10">
              <w:rPr>
                <w:rFonts w:ascii="Arial" w:hAnsi="Arial" w:cs="Arial"/>
                <w:color w:val="000000"/>
                <w:sz w:val="18"/>
                <w:szCs w:val="18"/>
              </w:rPr>
              <w:t>+</w:t>
            </w:r>
            <w:r w:rsidR="00BB58CD">
              <w:rPr>
                <w:rFonts w:ascii="Arial" w:hAnsi="Arial" w:cs="Arial"/>
                <w:color w:val="000000"/>
                <w:sz w:val="18"/>
                <w:szCs w:val="18"/>
              </w:rPr>
              <w:t>4.9</w:t>
            </w:r>
            <w:r w:rsidRPr="009B2B10">
              <w:rPr>
                <w:rFonts w:ascii="Arial" w:hAnsi="Arial" w:cs="Arial"/>
                <w:color w:val="000000"/>
                <w:sz w:val="18"/>
                <w:szCs w:val="18"/>
              </w:rPr>
              <w:t>%</w:t>
            </w:r>
          </w:p>
        </w:tc>
        <w:tc>
          <w:tcPr>
            <w:tcW w:w="1333" w:type="dxa"/>
            <w:tcBorders>
              <w:top w:val="nil"/>
              <w:bottom w:val="nil"/>
            </w:tcBorders>
            <w:shd w:val="clear" w:color="auto" w:fill="D9D9D9" w:themeFill="background1" w:themeFillShade="D9"/>
            <w:vAlign w:val="center"/>
          </w:tcPr>
          <w:p w14:paraId="21610963" w14:textId="5DBE4417" w:rsidR="009662A7" w:rsidRPr="000D0537" w:rsidRDefault="009662A7" w:rsidP="00A159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7C13C2">
              <w:rPr>
                <w:rFonts w:ascii="Arial" w:hAnsi="Arial" w:cs="Arial"/>
                <w:color w:val="000000"/>
                <w:sz w:val="18"/>
                <w:szCs w:val="18"/>
              </w:rPr>
              <w:t>+</w:t>
            </w:r>
            <w:r w:rsidR="00BB58CD">
              <w:rPr>
                <w:rFonts w:ascii="Arial" w:hAnsi="Arial" w:cs="Arial"/>
                <w:color w:val="000000"/>
                <w:sz w:val="18"/>
                <w:szCs w:val="18"/>
              </w:rPr>
              <w:t>4.8</w:t>
            </w:r>
            <w:r w:rsidRPr="007C13C2">
              <w:rPr>
                <w:rFonts w:ascii="Arial" w:hAnsi="Arial" w:cs="Arial"/>
                <w:color w:val="000000"/>
                <w:sz w:val="18"/>
                <w:szCs w:val="18"/>
              </w:rPr>
              <w:t>%</w:t>
            </w:r>
          </w:p>
        </w:tc>
      </w:tr>
      <w:tr w:rsidR="009662A7" w:rsidRPr="00525982" w14:paraId="6A79E46F" w14:textId="77777777" w:rsidTr="00A1598F">
        <w:trPr>
          <w:trHeight w:val="264"/>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right w:val="nil"/>
            </w:tcBorders>
            <w:vAlign w:val="center"/>
          </w:tcPr>
          <w:p w14:paraId="2F86402F" w14:textId="6F2F7BE9" w:rsidR="009662A7" w:rsidRPr="000D0537" w:rsidRDefault="009662A7" w:rsidP="00A1598F">
            <w:pPr>
              <w:pStyle w:val="NoSpacing"/>
              <w:rPr>
                <w:rFonts w:ascii="Arial" w:hAnsi="Arial" w:cs="Arial"/>
                <w:b w:val="0"/>
                <w:bCs w:val="0"/>
                <w:color w:val="000000" w:themeColor="text1"/>
                <w:sz w:val="18"/>
                <w:szCs w:val="18"/>
              </w:rPr>
            </w:pPr>
            <w:r w:rsidRPr="000D0537">
              <w:rPr>
                <w:rFonts w:ascii="Arial" w:hAnsi="Arial" w:cs="Arial"/>
                <w:b w:val="0"/>
                <w:bCs w:val="0"/>
                <w:color w:val="000000" w:themeColor="text1"/>
                <w:sz w:val="18"/>
                <w:szCs w:val="18"/>
              </w:rPr>
              <w:t>Ground lamb</w:t>
            </w:r>
          </w:p>
        </w:tc>
        <w:tc>
          <w:tcPr>
            <w:tcW w:w="990" w:type="dxa"/>
            <w:gridSpan w:val="2"/>
            <w:tcBorders>
              <w:top w:val="nil"/>
              <w:left w:val="nil"/>
              <w:bottom w:val="nil"/>
              <w:right w:val="nil"/>
            </w:tcBorders>
            <w:vAlign w:val="center"/>
          </w:tcPr>
          <w:p w14:paraId="4C5909CA" w14:textId="1766C32E" w:rsidR="009662A7" w:rsidRPr="000D0537" w:rsidRDefault="009662A7" w:rsidP="00A1598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EF0AB9">
              <w:rPr>
                <w:rFonts w:ascii="Arial" w:hAnsi="Arial" w:cs="Arial"/>
                <w:color w:val="auto"/>
                <w:sz w:val="18"/>
                <w:szCs w:val="18"/>
              </w:rPr>
              <w:t>$</w:t>
            </w:r>
            <w:r w:rsidR="00BB58CD">
              <w:rPr>
                <w:rFonts w:ascii="Arial" w:hAnsi="Arial" w:cs="Arial"/>
                <w:color w:val="auto"/>
                <w:sz w:val="18"/>
                <w:szCs w:val="18"/>
              </w:rPr>
              <w:t>6.2</w:t>
            </w:r>
            <w:r w:rsidRPr="00EF0AB9">
              <w:rPr>
                <w:rFonts w:ascii="Arial" w:hAnsi="Arial" w:cs="Arial"/>
                <w:color w:val="auto"/>
                <w:sz w:val="18"/>
                <w:szCs w:val="18"/>
              </w:rPr>
              <w:t>M</w:t>
            </w:r>
          </w:p>
        </w:tc>
        <w:tc>
          <w:tcPr>
            <w:tcW w:w="1075" w:type="dxa"/>
            <w:tcBorders>
              <w:top w:val="nil"/>
              <w:left w:val="nil"/>
              <w:bottom w:val="nil"/>
              <w:right w:val="nil"/>
            </w:tcBorders>
            <w:vAlign w:val="center"/>
          </w:tcPr>
          <w:p w14:paraId="0ED96580" w14:textId="19531E28" w:rsidR="009662A7" w:rsidRPr="000D0537" w:rsidRDefault="009662A7" w:rsidP="00A1598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93737B">
              <w:rPr>
                <w:rFonts w:ascii="Arial" w:hAnsi="Arial" w:cs="Arial"/>
                <w:color w:val="000000"/>
                <w:sz w:val="18"/>
                <w:szCs w:val="18"/>
              </w:rPr>
              <w:t>+</w:t>
            </w:r>
            <w:r w:rsidR="00BB58CD">
              <w:rPr>
                <w:rFonts w:ascii="Arial" w:hAnsi="Arial" w:cs="Arial"/>
                <w:color w:val="000000"/>
                <w:sz w:val="18"/>
                <w:szCs w:val="18"/>
              </w:rPr>
              <w:t>7.9</w:t>
            </w:r>
            <w:r w:rsidRPr="0093737B">
              <w:rPr>
                <w:rFonts w:ascii="Arial" w:hAnsi="Arial" w:cs="Arial"/>
                <w:color w:val="000000"/>
                <w:sz w:val="18"/>
                <w:szCs w:val="18"/>
              </w:rPr>
              <w:t>%</w:t>
            </w:r>
          </w:p>
        </w:tc>
        <w:tc>
          <w:tcPr>
            <w:tcW w:w="1333" w:type="dxa"/>
            <w:tcBorders>
              <w:top w:val="nil"/>
              <w:left w:val="nil"/>
              <w:bottom w:val="nil"/>
              <w:right w:val="single" w:sz="4" w:space="0" w:color="31849B" w:themeColor="accent5" w:themeShade="BF"/>
            </w:tcBorders>
            <w:vAlign w:val="center"/>
          </w:tcPr>
          <w:p w14:paraId="45178E2E" w14:textId="4B46C2AA" w:rsidR="009662A7" w:rsidRPr="000D0537" w:rsidRDefault="009662A7" w:rsidP="00A1598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w:t>
            </w:r>
            <w:r w:rsidR="00BB58CD">
              <w:rPr>
                <w:rFonts w:ascii="Arial" w:hAnsi="Arial" w:cs="Arial"/>
                <w:color w:val="000000"/>
                <w:sz w:val="18"/>
                <w:szCs w:val="18"/>
              </w:rPr>
              <w:t>8.4</w:t>
            </w:r>
            <w:r w:rsidRPr="0093737B">
              <w:rPr>
                <w:rFonts w:ascii="Arial" w:hAnsi="Arial" w:cs="Arial"/>
                <w:color w:val="000000"/>
                <w:sz w:val="18"/>
                <w:szCs w:val="18"/>
              </w:rPr>
              <w:t>%</w:t>
            </w:r>
          </w:p>
        </w:tc>
        <w:tc>
          <w:tcPr>
            <w:tcW w:w="1732" w:type="dxa"/>
            <w:gridSpan w:val="2"/>
            <w:tcBorders>
              <w:top w:val="nil"/>
              <w:left w:val="single" w:sz="4" w:space="0" w:color="31849B" w:themeColor="accent5" w:themeShade="BF"/>
              <w:bottom w:val="nil"/>
              <w:right w:val="nil"/>
            </w:tcBorders>
            <w:vAlign w:val="center"/>
          </w:tcPr>
          <w:p w14:paraId="33B65AC5" w14:textId="221080C5" w:rsidR="009662A7" w:rsidRPr="000D0537" w:rsidRDefault="009662A7" w:rsidP="00A1598F">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0D0537">
              <w:rPr>
                <w:rFonts w:ascii="Arial" w:hAnsi="Arial" w:cs="Arial"/>
                <w:color w:val="000000" w:themeColor="text1"/>
                <w:sz w:val="18"/>
                <w:szCs w:val="18"/>
              </w:rPr>
              <w:t>Ground lamb</w:t>
            </w:r>
          </w:p>
        </w:tc>
        <w:tc>
          <w:tcPr>
            <w:tcW w:w="990" w:type="dxa"/>
            <w:tcBorders>
              <w:top w:val="nil"/>
              <w:left w:val="nil"/>
              <w:bottom w:val="nil"/>
              <w:right w:val="nil"/>
            </w:tcBorders>
            <w:vAlign w:val="center"/>
          </w:tcPr>
          <w:p w14:paraId="75C50C28" w14:textId="595AC7EC" w:rsidR="009662A7" w:rsidRPr="000D0537" w:rsidRDefault="009662A7" w:rsidP="00A1598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BD74B0">
              <w:rPr>
                <w:rFonts w:ascii="Arial" w:hAnsi="Arial" w:cs="Arial"/>
                <w:color w:val="auto"/>
                <w:sz w:val="18"/>
                <w:szCs w:val="18"/>
              </w:rPr>
              <w:t>$</w:t>
            </w:r>
            <w:r w:rsidR="00BB58CD">
              <w:rPr>
                <w:rFonts w:ascii="Arial" w:hAnsi="Arial" w:cs="Arial"/>
                <w:color w:val="auto"/>
                <w:sz w:val="18"/>
                <w:szCs w:val="18"/>
              </w:rPr>
              <w:t>62</w:t>
            </w:r>
            <w:r w:rsidRPr="00BD74B0">
              <w:rPr>
                <w:rFonts w:ascii="Arial" w:hAnsi="Arial" w:cs="Arial"/>
                <w:color w:val="auto"/>
                <w:sz w:val="18"/>
                <w:szCs w:val="18"/>
              </w:rPr>
              <w:t>M</w:t>
            </w:r>
          </w:p>
        </w:tc>
        <w:tc>
          <w:tcPr>
            <w:tcW w:w="1277" w:type="dxa"/>
            <w:tcBorders>
              <w:top w:val="nil"/>
              <w:left w:val="nil"/>
              <w:bottom w:val="nil"/>
              <w:right w:val="nil"/>
            </w:tcBorders>
            <w:vAlign w:val="center"/>
          </w:tcPr>
          <w:p w14:paraId="23705D82" w14:textId="79E34BA3" w:rsidR="009662A7" w:rsidRPr="000D0537" w:rsidRDefault="009662A7" w:rsidP="00A1598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B2B10">
              <w:rPr>
                <w:rFonts w:ascii="Arial" w:hAnsi="Arial" w:cs="Arial"/>
                <w:color w:val="000000"/>
                <w:sz w:val="18"/>
                <w:szCs w:val="18"/>
              </w:rPr>
              <w:t>+</w:t>
            </w:r>
            <w:r w:rsidR="00BB58CD">
              <w:rPr>
                <w:rFonts w:ascii="Arial" w:hAnsi="Arial" w:cs="Arial"/>
                <w:color w:val="000000"/>
                <w:sz w:val="18"/>
                <w:szCs w:val="18"/>
              </w:rPr>
              <w:t>12.0</w:t>
            </w:r>
            <w:r w:rsidRPr="009B2B10">
              <w:rPr>
                <w:rFonts w:ascii="Arial" w:hAnsi="Arial" w:cs="Arial"/>
                <w:color w:val="000000"/>
                <w:sz w:val="18"/>
                <w:szCs w:val="18"/>
              </w:rPr>
              <w:t>%</w:t>
            </w:r>
          </w:p>
        </w:tc>
        <w:tc>
          <w:tcPr>
            <w:tcW w:w="1333" w:type="dxa"/>
            <w:tcBorders>
              <w:top w:val="nil"/>
              <w:left w:val="nil"/>
              <w:bottom w:val="nil"/>
            </w:tcBorders>
            <w:vAlign w:val="center"/>
          </w:tcPr>
          <w:p w14:paraId="28C00B2F" w14:textId="4FA68CAD" w:rsidR="009662A7" w:rsidRPr="000D0537" w:rsidRDefault="009662A7" w:rsidP="00A1598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7C13C2">
              <w:rPr>
                <w:rFonts w:ascii="Arial" w:hAnsi="Arial" w:cs="Arial"/>
                <w:color w:val="000000"/>
                <w:sz w:val="18"/>
                <w:szCs w:val="18"/>
              </w:rPr>
              <w:t>+</w:t>
            </w:r>
            <w:r w:rsidR="00BB58CD">
              <w:rPr>
                <w:rFonts w:ascii="Arial" w:hAnsi="Arial" w:cs="Arial"/>
                <w:color w:val="000000"/>
                <w:sz w:val="18"/>
                <w:szCs w:val="18"/>
              </w:rPr>
              <w:t>1.0</w:t>
            </w:r>
            <w:r w:rsidRPr="007C13C2">
              <w:rPr>
                <w:rFonts w:ascii="Arial" w:hAnsi="Arial" w:cs="Arial"/>
                <w:color w:val="000000"/>
                <w:sz w:val="18"/>
                <w:szCs w:val="18"/>
              </w:rPr>
              <w:t>%</w:t>
            </w:r>
          </w:p>
        </w:tc>
      </w:tr>
      <w:tr w:rsidR="009662A7" w:rsidRPr="00FB41A2" w14:paraId="5A862543" w14:textId="77777777" w:rsidTr="00A1598F">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D9D9D9" w:themeFill="background1" w:themeFillShade="D9"/>
            <w:vAlign w:val="center"/>
          </w:tcPr>
          <w:p w14:paraId="613D78C6" w14:textId="380BC422" w:rsidR="009662A7" w:rsidRPr="000D0537" w:rsidRDefault="009662A7" w:rsidP="00A1598F">
            <w:pPr>
              <w:pStyle w:val="NoSpacing"/>
              <w:rPr>
                <w:rFonts w:ascii="Arial" w:hAnsi="Arial" w:cs="Arial"/>
                <w:b w:val="0"/>
                <w:bCs w:val="0"/>
                <w:color w:val="000000" w:themeColor="text1"/>
                <w:sz w:val="18"/>
                <w:szCs w:val="18"/>
              </w:rPr>
            </w:pPr>
            <w:r w:rsidRPr="000D0537">
              <w:rPr>
                <w:rFonts w:ascii="Arial" w:hAnsi="Arial" w:cs="Arial"/>
                <w:b w:val="0"/>
                <w:bCs w:val="0"/>
                <w:color w:val="000000" w:themeColor="text1"/>
                <w:sz w:val="18"/>
                <w:szCs w:val="18"/>
              </w:rPr>
              <w:t>Ground veal</w:t>
            </w:r>
          </w:p>
        </w:tc>
        <w:tc>
          <w:tcPr>
            <w:tcW w:w="990" w:type="dxa"/>
            <w:gridSpan w:val="2"/>
            <w:tcBorders>
              <w:top w:val="nil"/>
              <w:bottom w:val="nil"/>
            </w:tcBorders>
            <w:shd w:val="clear" w:color="auto" w:fill="D9D9D9" w:themeFill="background1" w:themeFillShade="D9"/>
            <w:vAlign w:val="center"/>
          </w:tcPr>
          <w:p w14:paraId="0E4F26D7" w14:textId="0B1FA0C7" w:rsidR="009662A7" w:rsidRPr="000D0537" w:rsidRDefault="009662A7" w:rsidP="00A1598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EF0AB9">
              <w:rPr>
                <w:rFonts w:ascii="Arial" w:hAnsi="Arial" w:cs="Arial"/>
                <w:color w:val="auto"/>
                <w:sz w:val="18"/>
                <w:szCs w:val="18"/>
              </w:rPr>
              <w:t>$</w:t>
            </w:r>
            <w:r w:rsidR="00BB58CD">
              <w:rPr>
                <w:rFonts w:ascii="Arial" w:hAnsi="Arial" w:cs="Arial"/>
                <w:color w:val="auto"/>
                <w:sz w:val="18"/>
                <w:szCs w:val="18"/>
              </w:rPr>
              <w:t>0.7</w:t>
            </w:r>
            <w:r w:rsidRPr="00EF0AB9">
              <w:rPr>
                <w:rFonts w:ascii="Arial" w:hAnsi="Arial" w:cs="Arial"/>
                <w:color w:val="auto"/>
                <w:sz w:val="18"/>
                <w:szCs w:val="18"/>
              </w:rPr>
              <w:t>M</w:t>
            </w:r>
          </w:p>
        </w:tc>
        <w:tc>
          <w:tcPr>
            <w:tcW w:w="1075" w:type="dxa"/>
            <w:tcBorders>
              <w:top w:val="nil"/>
              <w:bottom w:val="nil"/>
            </w:tcBorders>
            <w:shd w:val="clear" w:color="auto" w:fill="D9D9D9" w:themeFill="background1" w:themeFillShade="D9"/>
            <w:vAlign w:val="center"/>
          </w:tcPr>
          <w:p w14:paraId="0D91B098" w14:textId="533A2C85" w:rsidR="009662A7" w:rsidRPr="000D0537" w:rsidRDefault="009662A7" w:rsidP="00A1598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w:t>
            </w:r>
            <w:r w:rsidR="00BB58CD">
              <w:rPr>
                <w:rFonts w:ascii="Arial" w:hAnsi="Arial" w:cs="Arial"/>
                <w:color w:val="000000"/>
                <w:sz w:val="18"/>
                <w:szCs w:val="18"/>
              </w:rPr>
              <w:t>6.6</w:t>
            </w:r>
            <w:r w:rsidRPr="0093737B">
              <w:rPr>
                <w:rFonts w:ascii="Arial" w:hAnsi="Arial" w:cs="Arial"/>
                <w:color w:val="000000"/>
                <w:sz w:val="18"/>
                <w:szCs w:val="18"/>
              </w:rPr>
              <w:t>%</w:t>
            </w:r>
          </w:p>
        </w:tc>
        <w:tc>
          <w:tcPr>
            <w:tcW w:w="1333" w:type="dxa"/>
            <w:tcBorders>
              <w:top w:val="nil"/>
              <w:bottom w:val="nil"/>
              <w:right w:val="single" w:sz="4" w:space="0" w:color="31849B" w:themeColor="accent5" w:themeShade="BF"/>
            </w:tcBorders>
            <w:shd w:val="clear" w:color="auto" w:fill="D9D9D9" w:themeFill="background1" w:themeFillShade="D9"/>
            <w:vAlign w:val="center"/>
          </w:tcPr>
          <w:p w14:paraId="29306A52" w14:textId="589C80F5" w:rsidR="009662A7" w:rsidRPr="000D0537" w:rsidRDefault="009662A7" w:rsidP="00A1598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w:t>
            </w:r>
            <w:r w:rsidR="00BB58CD">
              <w:rPr>
                <w:rFonts w:ascii="Arial" w:hAnsi="Arial" w:cs="Arial"/>
                <w:color w:val="000000"/>
                <w:sz w:val="18"/>
                <w:szCs w:val="18"/>
              </w:rPr>
              <w:t>16.6</w:t>
            </w:r>
            <w:r w:rsidRPr="0093737B">
              <w:rPr>
                <w:rFonts w:ascii="Arial" w:hAnsi="Arial" w:cs="Arial"/>
                <w:color w:val="000000"/>
                <w:sz w:val="18"/>
                <w:szCs w:val="18"/>
              </w:rPr>
              <w:t>%</w:t>
            </w:r>
          </w:p>
        </w:tc>
        <w:tc>
          <w:tcPr>
            <w:tcW w:w="1732" w:type="dxa"/>
            <w:gridSpan w:val="2"/>
            <w:tcBorders>
              <w:top w:val="nil"/>
              <w:left w:val="single" w:sz="4" w:space="0" w:color="31849B" w:themeColor="accent5" w:themeShade="BF"/>
              <w:bottom w:val="nil"/>
            </w:tcBorders>
            <w:shd w:val="clear" w:color="auto" w:fill="D9D9D9" w:themeFill="background1" w:themeFillShade="D9"/>
            <w:vAlign w:val="center"/>
          </w:tcPr>
          <w:p w14:paraId="416BA0FC" w14:textId="6DE6D024" w:rsidR="009662A7" w:rsidRPr="000D0537" w:rsidRDefault="009662A7" w:rsidP="00A1598F">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0D0537">
              <w:rPr>
                <w:rFonts w:ascii="Arial" w:hAnsi="Arial" w:cs="Arial"/>
                <w:color w:val="000000" w:themeColor="text1"/>
                <w:sz w:val="18"/>
                <w:szCs w:val="18"/>
              </w:rPr>
              <w:t>Ground veal</w:t>
            </w:r>
          </w:p>
        </w:tc>
        <w:tc>
          <w:tcPr>
            <w:tcW w:w="990" w:type="dxa"/>
            <w:tcBorders>
              <w:top w:val="nil"/>
              <w:bottom w:val="nil"/>
            </w:tcBorders>
            <w:shd w:val="clear" w:color="auto" w:fill="D9D9D9" w:themeFill="background1" w:themeFillShade="D9"/>
            <w:vAlign w:val="center"/>
          </w:tcPr>
          <w:p w14:paraId="590BAB2D" w14:textId="498398C4" w:rsidR="009662A7" w:rsidRPr="000D0537" w:rsidRDefault="009662A7" w:rsidP="00A159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BD74B0">
              <w:rPr>
                <w:rFonts w:ascii="Arial" w:hAnsi="Arial" w:cs="Arial"/>
                <w:color w:val="auto"/>
                <w:sz w:val="18"/>
                <w:szCs w:val="18"/>
              </w:rPr>
              <w:t>$</w:t>
            </w:r>
            <w:r w:rsidR="00BB58CD">
              <w:rPr>
                <w:rFonts w:ascii="Arial" w:hAnsi="Arial" w:cs="Arial"/>
                <w:color w:val="auto"/>
                <w:sz w:val="18"/>
                <w:szCs w:val="18"/>
              </w:rPr>
              <w:t>10</w:t>
            </w:r>
            <w:r w:rsidRPr="00BD74B0">
              <w:rPr>
                <w:rFonts w:ascii="Arial" w:hAnsi="Arial" w:cs="Arial"/>
                <w:color w:val="auto"/>
                <w:sz w:val="18"/>
                <w:szCs w:val="18"/>
              </w:rPr>
              <w:t>M</w:t>
            </w:r>
          </w:p>
        </w:tc>
        <w:tc>
          <w:tcPr>
            <w:tcW w:w="1277" w:type="dxa"/>
            <w:tcBorders>
              <w:top w:val="nil"/>
              <w:bottom w:val="nil"/>
            </w:tcBorders>
            <w:shd w:val="clear" w:color="auto" w:fill="D9D9D9" w:themeFill="background1" w:themeFillShade="D9"/>
            <w:vAlign w:val="center"/>
          </w:tcPr>
          <w:p w14:paraId="2FB2D010" w14:textId="3E770979" w:rsidR="009662A7" w:rsidRPr="000D0537" w:rsidRDefault="009662A7" w:rsidP="00A159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B2B10">
              <w:rPr>
                <w:rFonts w:ascii="Arial" w:hAnsi="Arial" w:cs="Arial"/>
                <w:color w:val="000000"/>
                <w:sz w:val="18"/>
                <w:szCs w:val="18"/>
              </w:rPr>
              <w:t>+</w:t>
            </w:r>
            <w:r w:rsidR="00BB58CD">
              <w:rPr>
                <w:rFonts w:ascii="Arial" w:hAnsi="Arial" w:cs="Arial"/>
                <w:color w:val="000000"/>
                <w:sz w:val="18"/>
                <w:szCs w:val="18"/>
              </w:rPr>
              <w:t>3.0</w:t>
            </w:r>
            <w:r w:rsidRPr="009B2B10">
              <w:rPr>
                <w:rFonts w:ascii="Arial" w:hAnsi="Arial" w:cs="Arial"/>
                <w:color w:val="000000"/>
                <w:sz w:val="18"/>
                <w:szCs w:val="18"/>
              </w:rPr>
              <w:t>%</w:t>
            </w:r>
          </w:p>
        </w:tc>
        <w:tc>
          <w:tcPr>
            <w:tcW w:w="1333" w:type="dxa"/>
            <w:tcBorders>
              <w:top w:val="nil"/>
              <w:bottom w:val="nil"/>
            </w:tcBorders>
            <w:shd w:val="clear" w:color="auto" w:fill="D9D9D9" w:themeFill="background1" w:themeFillShade="D9"/>
            <w:vAlign w:val="center"/>
          </w:tcPr>
          <w:p w14:paraId="79E4D32C" w14:textId="08388CC4" w:rsidR="009662A7" w:rsidRPr="000D0537" w:rsidRDefault="009662A7" w:rsidP="00A159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BB58CD">
              <w:rPr>
                <w:rFonts w:ascii="Arial" w:hAnsi="Arial" w:cs="Arial"/>
                <w:color w:val="000000"/>
                <w:sz w:val="18"/>
                <w:szCs w:val="18"/>
              </w:rPr>
              <w:t>3.4</w:t>
            </w:r>
            <w:r w:rsidRPr="009939F0">
              <w:rPr>
                <w:rFonts w:ascii="Arial" w:hAnsi="Arial" w:cs="Arial"/>
                <w:color w:val="000000"/>
                <w:sz w:val="18"/>
                <w:szCs w:val="18"/>
              </w:rPr>
              <w:t>%</w:t>
            </w:r>
          </w:p>
        </w:tc>
      </w:tr>
      <w:bookmarkEnd w:id="10"/>
    </w:tbl>
    <w:p w14:paraId="78C9C012" w14:textId="24AA8B0B" w:rsidR="008916F6" w:rsidRPr="0027199D" w:rsidRDefault="008916F6" w:rsidP="008916F6">
      <w:pPr>
        <w:pStyle w:val="NoSpacing"/>
        <w:rPr>
          <w:rFonts w:ascii="Arial" w:hAnsi="Arial" w:cs="Arial"/>
          <w:sz w:val="4"/>
          <w:szCs w:val="10"/>
        </w:rPr>
      </w:pPr>
    </w:p>
    <w:p w14:paraId="6EDA657A" w14:textId="5502F868" w:rsidR="008916F6" w:rsidRPr="00797BB8" w:rsidRDefault="008916F6" w:rsidP="008916F6">
      <w:pPr>
        <w:pStyle w:val="NoSpacing"/>
        <w:rPr>
          <w:rFonts w:ascii="Arial" w:hAnsi="Arial" w:cs="Arial"/>
          <w:color w:val="7F7F7F" w:themeColor="text1" w:themeTint="80"/>
          <w:sz w:val="16"/>
          <w:szCs w:val="16"/>
        </w:rPr>
      </w:pPr>
      <w:r w:rsidRPr="00797BB8">
        <w:rPr>
          <w:rFonts w:ascii="Arial" w:hAnsi="Arial" w:cs="Arial"/>
          <w:color w:val="7F7F7F" w:themeColor="text1" w:themeTint="80"/>
          <w:sz w:val="16"/>
          <w:szCs w:val="16"/>
        </w:rPr>
        <w:t xml:space="preserve">Source: </w:t>
      </w:r>
      <w:r w:rsidR="00FB48FE" w:rsidRPr="00797BB8">
        <w:rPr>
          <w:rFonts w:ascii="Arial" w:hAnsi="Arial" w:cs="Arial"/>
          <w:color w:val="7F7F7F" w:themeColor="text1" w:themeTint="80"/>
          <w:sz w:val="16"/>
          <w:szCs w:val="16"/>
        </w:rPr>
        <w:t>Circana</w:t>
      </w:r>
      <w:r w:rsidRPr="00797BB8">
        <w:rPr>
          <w:rFonts w:ascii="Arial" w:hAnsi="Arial" w:cs="Arial"/>
          <w:color w:val="7F7F7F" w:themeColor="text1" w:themeTint="80"/>
          <w:sz w:val="16"/>
          <w:szCs w:val="16"/>
        </w:rPr>
        <w:t xml:space="preserve">, Integrated Fresh, Total US, </w:t>
      </w:r>
      <w:r w:rsidR="00D85BA4">
        <w:rPr>
          <w:rFonts w:ascii="Arial" w:hAnsi="Arial" w:cs="Arial"/>
          <w:color w:val="7F7F7F" w:themeColor="text1" w:themeTint="80"/>
          <w:sz w:val="16"/>
          <w:szCs w:val="16"/>
        </w:rPr>
        <w:t>MULO+</w:t>
      </w:r>
    </w:p>
    <w:p w14:paraId="23627D24" w14:textId="03BE26E6" w:rsidR="0072666D" w:rsidRPr="00193E59" w:rsidRDefault="0072666D" w:rsidP="00AE4240">
      <w:pPr>
        <w:pStyle w:val="NoSpacing"/>
        <w:rPr>
          <w:rFonts w:ascii="Arial" w:hAnsi="Arial" w:cs="Arial"/>
          <w:b/>
          <w:bCs/>
          <w:color w:val="595959" w:themeColor="text1" w:themeTint="A6"/>
          <w:sz w:val="28"/>
          <w:szCs w:val="24"/>
        </w:rPr>
      </w:pPr>
      <w:bookmarkStart w:id="11" w:name="_Hlk187583242"/>
    </w:p>
    <w:bookmarkEnd w:id="11"/>
    <w:p w14:paraId="2EA7E64E" w14:textId="77777777" w:rsidR="00193E59" w:rsidRPr="00193E59" w:rsidRDefault="00193E59" w:rsidP="00193E59">
      <w:pPr>
        <w:pStyle w:val="NoSpacing"/>
        <w:rPr>
          <w:rFonts w:ascii="Arial" w:hAnsi="Arial" w:cs="Arial"/>
          <w:b/>
          <w:color w:val="595959" w:themeColor="text1" w:themeTint="A6"/>
          <w:sz w:val="24"/>
        </w:rPr>
      </w:pPr>
      <w:r w:rsidRPr="00193E59">
        <w:rPr>
          <w:rFonts w:ascii="Arial" w:hAnsi="Arial" w:cs="Arial"/>
          <w:b/>
          <w:color w:val="595959" w:themeColor="text1" w:themeTint="A6"/>
          <w:sz w:val="24"/>
        </w:rPr>
        <w:t>What’s Next?</w:t>
      </w:r>
    </w:p>
    <w:p w14:paraId="11DCE5B9" w14:textId="77777777" w:rsidR="00A1598F" w:rsidRPr="009118D6" w:rsidRDefault="00A1598F" w:rsidP="00A1598F">
      <w:pPr>
        <w:pStyle w:val="NoSpacing"/>
        <w:numPr>
          <w:ilvl w:val="0"/>
          <w:numId w:val="4"/>
        </w:numPr>
        <w:rPr>
          <w:rFonts w:ascii="Arial" w:hAnsi="Arial" w:cs="Arial"/>
          <w:sz w:val="20"/>
          <w:szCs w:val="20"/>
        </w:rPr>
      </w:pPr>
      <w:bookmarkStart w:id="12" w:name="_Hlk226895291"/>
      <w:r>
        <w:rPr>
          <w:rFonts w:ascii="Arial" w:hAnsi="Arial" w:cs="Arial"/>
          <w:sz w:val="20"/>
          <w:szCs w:val="20"/>
        </w:rPr>
        <w:t>T</w:t>
      </w:r>
      <w:r w:rsidRPr="009118D6">
        <w:rPr>
          <w:rFonts w:ascii="Arial" w:hAnsi="Arial" w:cs="Arial"/>
          <w:sz w:val="20"/>
          <w:szCs w:val="20"/>
        </w:rPr>
        <w:t>he FDA has approved a once-daily GLP-1 pill, priced at</w:t>
      </w:r>
      <w:r>
        <w:rPr>
          <w:rFonts w:ascii="Arial" w:hAnsi="Arial" w:cs="Arial"/>
          <w:sz w:val="20"/>
          <w:szCs w:val="20"/>
        </w:rPr>
        <w:t xml:space="preserve"> as low as</w:t>
      </w:r>
      <w:r w:rsidRPr="009118D6">
        <w:rPr>
          <w:rFonts w:ascii="Arial" w:hAnsi="Arial" w:cs="Arial"/>
          <w:sz w:val="20"/>
          <w:szCs w:val="20"/>
        </w:rPr>
        <w:t xml:space="preserve"> $25 per month for insured patients and $149–$349 for those paying out of pocket, according to CNBC. GLP-1 medications are influencing categories across the store</w:t>
      </w:r>
      <w:r>
        <w:rPr>
          <w:rFonts w:ascii="Arial" w:hAnsi="Arial" w:cs="Arial"/>
          <w:sz w:val="20"/>
          <w:szCs w:val="20"/>
        </w:rPr>
        <w:t xml:space="preserve">. While there are no signs of shying away from any categories, GLP-1 consumers tend to be </w:t>
      </w:r>
      <w:r w:rsidRPr="009118D6">
        <w:rPr>
          <w:rFonts w:ascii="Arial" w:hAnsi="Arial" w:cs="Arial"/>
          <w:sz w:val="20"/>
          <w:szCs w:val="20"/>
        </w:rPr>
        <w:t>focus</w:t>
      </w:r>
      <w:r>
        <w:rPr>
          <w:rFonts w:ascii="Arial" w:hAnsi="Arial" w:cs="Arial"/>
          <w:sz w:val="20"/>
          <w:szCs w:val="20"/>
        </w:rPr>
        <w:t>ed</w:t>
      </w:r>
      <w:r w:rsidRPr="009118D6">
        <w:rPr>
          <w:rFonts w:ascii="Arial" w:hAnsi="Arial" w:cs="Arial"/>
          <w:sz w:val="20"/>
          <w:szCs w:val="20"/>
        </w:rPr>
        <w:t xml:space="preserve"> on nutrient density, portion control and protein. </w:t>
      </w:r>
    </w:p>
    <w:p w14:paraId="6265B4AF" w14:textId="77777777" w:rsidR="00A1598F" w:rsidRPr="009118D6" w:rsidRDefault="00A1598F" w:rsidP="00A1598F">
      <w:pPr>
        <w:pStyle w:val="NoSpacing"/>
        <w:numPr>
          <w:ilvl w:val="0"/>
          <w:numId w:val="4"/>
        </w:numPr>
        <w:rPr>
          <w:rFonts w:ascii="Arial" w:hAnsi="Arial" w:cs="Arial"/>
          <w:sz w:val="20"/>
          <w:szCs w:val="20"/>
        </w:rPr>
      </w:pPr>
      <w:r w:rsidRPr="009118D6">
        <w:rPr>
          <w:rFonts w:ascii="Arial" w:hAnsi="Arial" w:cs="Arial"/>
          <w:sz w:val="20"/>
          <w:szCs w:val="20"/>
        </w:rPr>
        <w:t>Private label sales reached $330 billion, capturing a 24% unit share and 23% dollar share of the total market, according to Circana. Club channels</w:t>
      </w:r>
      <w:r>
        <w:rPr>
          <w:rFonts w:ascii="Arial" w:hAnsi="Arial" w:cs="Arial"/>
          <w:sz w:val="20"/>
          <w:szCs w:val="20"/>
        </w:rPr>
        <w:t xml:space="preserve">, </w:t>
      </w:r>
      <w:r w:rsidRPr="009118D6">
        <w:rPr>
          <w:rFonts w:ascii="Arial" w:hAnsi="Arial" w:cs="Arial"/>
          <w:sz w:val="20"/>
          <w:szCs w:val="20"/>
        </w:rPr>
        <w:t>the primary growth engine</w:t>
      </w:r>
      <w:r>
        <w:rPr>
          <w:rFonts w:ascii="Arial" w:hAnsi="Arial" w:cs="Arial"/>
          <w:sz w:val="20"/>
          <w:szCs w:val="20"/>
        </w:rPr>
        <w:t xml:space="preserve">, </w:t>
      </w:r>
      <w:r w:rsidRPr="009118D6">
        <w:rPr>
          <w:rFonts w:ascii="Arial" w:hAnsi="Arial" w:cs="Arial"/>
          <w:sz w:val="20"/>
          <w:szCs w:val="20"/>
        </w:rPr>
        <w:t xml:space="preserve">account for nearly half of private label’s momentum. </w:t>
      </w:r>
    </w:p>
    <w:p w14:paraId="72D18C8A" w14:textId="77777777" w:rsidR="00A1598F" w:rsidRPr="009118D6" w:rsidRDefault="00A1598F" w:rsidP="00A1598F">
      <w:pPr>
        <w:pStyle w:val="NoSpacing"/>
        <w:numPr>
          <w:ilvl w:val="0"/>
          <w:numId w:val="4"/>
        </w:numPr>
        <w:rPr>
          <w:rFonts w:ascii="Arial" w:hAnsi="Arial" w:cs="Arial"/>
          <w:sz w:val="20"/>
          <w:szCs w:val="20"/>
        </w:rPr>
      </w:pPr>
      <w:r w:rsidRPr="009118D6">
        <w:rPr>
          <w:rFonts w:ascii="Arial" w:hAnsi="Arial" w:cs="Arial"/>
          <w:sz w:val="20"/>
          <w:szCs w:val="20"/>
        </w:rPr>
        <w:t xml:space="preserve">Lower-income consumers continue to optimize spending through mix shifts toward mainstream brands, private label, and smaller pack sizes. Over the past six months, price per unit for lower-income households rose 1.1% versus 1.8% for higher-income consumers, while unit demand increased 1.9%, according to Circana. </w:t>
      </w:r>
    </w:p>
    <w:p w14:paraId="6C098AB5" w14:textId="77777777" w:rsidR="00A1598F" w:rsidRDefault="00A1598F" w:rsidP="00A1598F">
      <w:pPr>
        <w:pStyle w:val="NoSpacing"/>
        <w:numPr>
          <w:ilvl w:val="0"/>
          <w:numId w:val="4"/>
        </w:numPr>
      </w:pPr>
      <w:r w:rsidRPr="009118D6">
        <w:rPr>
          <w:rFonts w:ascii="Arial" w:hAnsi="Arial" w:cs="Arial"/>
          <w:sz w:val="20"/>
          <w:szCs w:val="20"/>
        </w:rPr>
        <w:t>Expanded SNAP work eligibility requirements took effect nationally on February 1, with full enforcement beginning March 1. State-level restrictions on SNAP-eligible items</w:t>
      </w:r>
      <w:r>
        <w:rPr>
          <w:rFonts w:ascii="Arial" w:hAnsi="Arial" w:cs="Arial"/>
          <w:sz w:val="20"/>
          <w:szCs w:val="20"/>
        </w:rPr>
        <w:t xml:space="preserve"> vary by state but include items such as </w:t>
      </w:r>
      <w:r w:rsidRPr="009118D6">
        <w:rPr>
          <w:rFonts w:ascii="Arial" w:hAnsi="Arial" w:cs="Arial"/>
          <w:sz w:val="20"/>
          <w:szCs w:val="20"/>
        </w:rPr>
        <w:t>soft drinks, candy</w:t>
      </w:r>
      <w:r>
        <w:rPr>
          <w:rFonts w:ascii="Arial" w:hAnsi="Arial" w:cs="Arial"/>
          <w:sz w:val="20"/>
          <w:szCs w:val="20"/>
        </w:rPr>
        <w:t xml:space="preserve"> and</w:t>
      </w:r>
      <w:r w:rsidRPr="009118D6">
        <w:rPr>
          <w:rFonts w:ascii="Arial" w:hAnsi="Arial" w:cs="Arial"/>
          <w:sz w:val="20"/>
          <w:szCs w:val="20"/>
        </w:rPr>
        <w:t xml:space="preserve"> energy drinks</w:t>
      </w:r>
      <w:r>
        <w:rPr>
          <w:rFonts w:ascii="Arial" w:hAnsi="Arial" w:cs="Arial"/>
          <w:sz w:val="20"/>
          <w:szCs w:val="20"/>
        </w:rPr>
        <w:t>, and</w:t>
      </w:r>
      <w:r w:rsidRPr="009118D6">
        <w:rPr>
          <w:rFonts w:ascii="Arial" w:hAnsi="Arial" w:cs="Arial"/>
          <w:sz w:val="20"/>
          <w:szCs w:val="20"/>
        </w:rPr>
        <w:t xml:space="preserve"> are rolling out in phases. Colorado, Florida, and Texas begin implementation in April.</w:t>
      </w:r>
    </w:p>
    <w:bookmarkEnd w:id="12"/>
    <w:p w14:paraId="03AE9CDC" w14:textId="77777777" w:rsidR="00551BB7" w:rsidRDefault="00551BB7" w:rsidP="00551BB7">
      <w:pPr>
        <w:pStyle w:val="NoSpacing"/>
        <w:rPr>
          <w:rFonts w:ascii="Arial" w:hAnsi="Arial" w:cs="Arial"/>
          <w:b/>
          <w:bCs/>
          <w:sz w:val="20"/>
          <w:szCs w:val="20"/>
        </w:rPr>
      </w:pPr>
    </w:p>
    <w:p w14:paraId="5EE6DAD3" w14:textId="77777777" w:rsidR="005A4AF8" w:rsidRDefault="005A4AF8" w:rsidP="005A4AF8">
      <w:pPr>
        <w:pStyle w:val="NoSpacing"/>
        <w:rPr>
          <w:rFonts w:ascii="Arial" w:hAnsi="Arial" w:cs="Arial"/>
          <w:b/>
          <w:sz w:val="20"/>
          <w:szCs w:val="20"/>
        </w:rPr>
      </w:pPr>
      <w:r>
        <w:rPr>
          <w:rFonts w:ascii="Arial" w:hAnsi="Arial" w:cs="Arial"/>
          <w:b/>
          <w:sz w:val="20"/>
          <w:szCs w:val="20"/>
        </w:rPr>
        <w:t xml:space="preserve">Date ranges: </w:t>
      </w:r>
    </w:p>
    <w:p w14:paraId="5965C4CA" w14:textId="7D832D6C" w:rsidR="005A4AF8" w:rsidRDefault="005A4AF8" w:rsidP="005A4AF8">
      <w:pPr>
        <w:pStyle w:val="NoSpacing"/>
        <w:rPr>
          <w:rFonts w:ascii="Arial" w:hAnsi="Arial" w:cs="Arial"/>
          <w:sz w:val="20"/>
          <w:szCs w:val="20"/>
        </w:rPr>
      </w:pPr>
      <w:r>
        <w:rPr>
          <w:rFonts w:ascii="Arial" w:hAnsi="Arial" w:cs="Arial"/>
          <w:sz w:val="20"/>
          <w:szCs w:val="20"/>
        </w:rPr>
        <w:t>2025: 52</w:t>
      </w:r>
      <w:r w:rsidR="00BF0B40">
        <w:rPr>
          <w:rFonts w:ascii="Arial" w:hAnsi="Arial" w:cs="Arial"/>
          <w:sz w:val="20"/>
          <w:szCs w:val="20"/>
        </w:rPr>
        <w:t xml:space="preserve"> weeks ending 12/28/2025</w:t>
      </w:r>
      <w:r>
        <w:rPr>
          <w:rFonts w:ascii="Arial" w:hAnsi="Arial" w:cs="Arial"/>
          <w:sz w:val="20"/>
          <w:szCs w:val="20"/>
        </w:rPr>
        <w:t xml:space="preserve">       </w:t>
      </w:r>
    </w:p>
    <w:p w14:paraId="303B680E" w14:textId="313F1DD6" w:rsidR="005A4AF8" w:rsidRDefault="00872F08" w:rsidP="005A4AF8">
      <w:pPr>
        <w:pStyle w:val="NoSpacing"/>
        <w:rPr>
          <w:rFonts w:ascii="Arial" w:hAnsi="Arial" w:cs="Arial"/>
          <w:sz w:val="20"/>
          <w:szCs w:val="20"/>
        </w:rPr>
      </w:pPr>
      <w:r>
        <w:rPr>
          <w:rFonts w:ascii="Arial" w:hAnsi="Arial" w:cs="Arial"/>
          <w:sz w:val="20"/>
          <w:szCs w:val="20"/>
        </w:rPr>
        <w:t>Q1 2026</w:t>
      </w:r>
      <w:r w:rsidR="005A4AF8">
        <w:rPr>
          <w:rFonts w:ascii="Arial" w:hAnsi="Arial" w:cs="Arial"/>
          <w:sz w:val="20"/>
          <w:szCs w:val="20"/>
        </w:rPr>
        <w:t xml:space="preserve">: 13 weeks ending </w:t>
      </w:r>
      <w:r>
        <w:rPr>
          <w:rFonts w:ascii="Arial" w:hAnsi="Arial" w:cs="Arial"/>
          <w:sz w:val="20"/>
          <w:szCs w:val="20"/>
        </w:rPr>
        <w:t xml:space="preserve">03/29/2026 </w:t>
      </w:r>
    </w:p>
    <w:p w14:paraId="72139F6C" w14:textId="2A086E83" w:rsidR="005A4AF8" w:rsidRPr="001031CD" w:rsidRDefault="00193E59" w:rsidP="005A4AF8">
      <w:pPr>
        <w:pStyle w:val="NoSpacing"/>
        <w:rPr>
          <w:rFonts w:ascii="Arial" w:hAnsi="Arial" w:cs="Arial"/>
          <w:sz w:val="20"/>
          <w:szCs w:val="20"/>
          <w:lang w:val="en-GB"/>
        </w:rPr>
      </w:pPr>
      <w:r>
        <w:rPr>
          <w:rFonts w:ascii="Arial" w:hAnsi="Arial" w:cs="Arial"/>
          <w:sz w:val="20"/>
          <w:szCs w:val="20"/>
        </w:rPr>
        <w:t>March</w:t>
      </w:r>
      <w:r w:rsidR="00697100">
        <w:rPr>
          <w:rFonts w:ascii="Arial" w:hAnsi="Arial" w:cs="Arial"/>
          <w:sz w:val="20"/>
          <w:szCs w:val="20"/>
        </w:rPr>
        <w:t xml:space="preserve"> 2026: 4</w:t>
      </w:r>
      <w:r w:rsidR="000D7CB9">
        <w:rPr>
          <w:rFonts w:ascii="Arial" w:hAnsi="Arial" w:cs="Arial"/>
          <w:sz w:val="20"/>
          <w:szCs w:val="20"/>
        </w:rPr>
        <w:t xml:space="preserve"> we</w:t>
      </w:r>
      <w:r w:rsidR="00697100">
        <w:rPr>
          <w:rFonts w:ascii="Arial" w:hAnsi="Arial" w:cs="Arial"/>
          <w:sz w:val="20"/>
          <w:szCs w:val="20"/>
        </w:rPr>
        <w:t>eks ending 03</w:t>
      </w:r>
      <w:r>
        <w:rPr>
          <w:rFonts w:ascii="Arial" w:hAnsi="Arial" w:cs="Arial"/>
          <w:sz w:val="20"/>
          <w:szCs w:val="20"/>
        </w:rPr>
        <w:t>/29</w:t>
      </w:r>
      <w:r w:rsidR="000D7CB9">
        <w:rPr>
          <w:rFonts w:ascii="Arial" w:hAnsi="Arial" w:cs="Arial"/>
          <w:sz w:val="20"/>
          <w:szCs w:val="20"/>
        </w:rPr>
        <w:t>/2026</w:t>
      </w:r>
    </w:p>
    <w:p w14:paraId="48844919" w14:textId="77777777" w:rsidR="00A65282" w:rsidRDefault="00A65282" w:rsidP="00A03097">
      <w:pPr>
        <w:pStyle w:val="Heading2"/>
        <w:rPr>
          <w:rFonts w:ascii="Arial" w:hAnsi="Arial" w:cs="Arial"/>
          <w:b/>
          <w:color w:val="595959" w:themeColor="text1" w:themeTint="A6"/>
          <w:sz w:val="32"/>
          <w:szCs w:val="32"/>
        </w:rPr>
      </w:pPr>
    </w:p>
    <w:p w14:paraId="207F392D" w14:textId="1C69F563" w:rsidR="00A65282" w:rsidRDefault="00A65282" w:rsidP="00A03097">
      <w:pPr>
        <w:pStyle w:val="Heading2"/>
        <w:rPr>
          <w:rFonts w:ascii="Arial" w:hAnsi="Arial" w:cs="Arial"/>
          <w:b/>
          <w:color w:val="595959" w:themeColor="text1" w:themeTint="A6"/>
          <w:sz w:val="32"/>
          <w:szCs w:val="32"/>
        </w:rPr>
      </w:pPr>
    </w:p>
    <w:p w14:paraId="27F78A11" w14:textId="5E78835E" w:rsidR="00A65282" w:rsidRDefault="00A65282" w:rsidP="00A65282"/>
    <w:p w14:paraId="50549B24" w14:textId="58D0A6CB" w:rsidR="00A65282" w:rsidRDefault="00A65282" w:rsidP="00A65282"/>
    <w:p w14:paraId="579B971B" w14:textId="0700CD17" w:rsidR="00A65282" w:rsidRDefault="00A65282" w:rsidP="00A65282"/>
    <w:p w14:paraId="0CD44DC7" w14:textId="07D9BEF5" w:rsidR="00AE4240" w:rsidRPr="00FD125D" w:rsidRDefault="00E04116" w:rsidP="00A03097">
      <w:pPr>
        <w:pStyle w:val="Heading2"/>
        <w:rPr>
          <w:rFonts w:ascii="Arial" w:hAnsi="Arial" w:cs="Arial"/>
          <w:b/>
          <w:color w:val="595959" w:themeColor="text1" w:themeTint="A6"/>
          <w:sz w:val="32"/>
          <w:szCs w:val="32"/>
        </w:rPr>
      </w:pPr>
      <w:r>
        <w:rPr>
          <w:rFonts w:ascii="Arial" w:hAnsi="Arial" w:cs="Arial"/>
          <w:b/>
          <w:color w:val="595959" w:themeColor="text1" w:themeTint="A6"/>
          <w:sz w:val="32"/>
          <w:szCs w:val="32"/>
        </w:rPr>
        <w:lastRenderedPageBreak/>
        <w:t>Prepared Foods and Cheese Lead Growth in March</w:t>
      </w:r>
    </w:p>
    <w:p w14:paraId="5C75BA8E" w14:textId="3BCB04D2" w:rsidR="00A03097" w:rsidRPr="00F543EA" w:rsidRDefault="00A03097" w:rsidP="00A03097">
      <w:pPr>
        <w:pStyle w:val="Heading2"/>
        <w:rPr>
          <w:rFonts w:ascii="Arial" w:hAnsi="Arial" w:cs="Arial"/>
          <w:b/>
          <w:color w:val="595959" w:themeColor="text1" w:themeTint="A6"/>
          <w:sz w:val="24"/>
          <w:szCs w:val="24"/>
        </w:rPr>
      </w:pPr>
      <w:r w:rsidRPr="00F543EA">
        <w:rPr>
          <w:rFonts w:ascii="Arial" w:hAnsi="Arial" w:cs="Arial"/>
          <w:b/>
          <w:color w:val="595959" w:themeColor="text1" w:themeTint="A6"/>
          <w:sz w:val="24"/>
          <w:szCs w:val="24"/>
        </w:rPr>
        <w:t>Deli Sales</w:t>
      </w:r>
    </w:p>
    <w:p w14:paraId="2B82AFAE" w14:textId="7F413761" w:rsidR="00A03097" w:rsidRDefault="00193E59" w:rsidP="00A03097">
      <w:pPr>
        <w:pStyle w:val="NoSpacing"/>
        <w:rPr>
          <w:rFonts w:ascii="Arial" w:hAnsi="Arial" w:cs="Arial"/>
          <w:sz w:val="20"/>
          <w:szCs w:val="20"/>
        </w:rPr>
      </w:pPr>
      <w:r>
        <w:rPr>
          <w:rFonts w:ascii="Arial" w:hAnsi="Arial" w:cs="Arial"/>
          <w:sz w:val="20"/>
          <w:szCs w:val="20"/>
        </w:rPr>
        <w:t>March</w:t>
      </w:r>
      <w:r w:rsidR="00205665">
        <w:rPr>
          <w:rFonts w:ascii="Arial" w:hAnsi="Arial" w:cs="Arial"/>
          <w:sz w:val="20"/>
          <w:szCs w:val="20"/>
        </w:rPr>
        <w:t xml:space="preserve"> generated $</w:t>
      </w:r>
      <w:r w:rsidR="00380BF9">
        <w:rPr>
          <w:rFonts w:ascii="Arial" w:hAnsi="Arial" w:cs="Arial"/>
          <w:sz w:val="20"/>
          <w:szCs w:val="20"/>
        </w:rPr>
        <w:t>4.2</w:t>
      </w:r>
      <w:r w:rsidR="00205665">
        <w:rPr>
          <w:rFonts w:ascii="Arial" w:hAnsi="Arial" w:cs="Arial"/>
          <w:sz w:val="20"/>
          <w:szCs w:val="20"/>
        </w:rPr>
        <w:t xml:space="preserve"> </w:t>
      </w:r>
      <w:r w:rsidR="00834104">
        <w:rPr>
          <w:rFonts w:ascii="Arial" w:hAnsi="Arial" w:cs="Arial"/>
          <w:sz w:val="20"/>
          <w:szCs w:val="20"/>
        </w:rPr>
        <w:t xml:space="preserve">billion in deli department sales, reflecting </w:t>
      </w:r>
      <w:r w:rsidR="00924A69">
        <w:rPr>
          <w:rFonts w:ascii="Arial" w:hAnsi="Arial" w:cs="Arial"/>
          <w:sz w:val="20"/>
          <w:szCs w:val="20"/>
        </w:rPr>
        <w:t>a combination of demand and inflation-driven growth</w:t>
      </w:r>
      <w:r w:rsidR="00834104">
        <w:rPr>
          <w:rFonts w:ascii="Arial" w:hAnsi="Arial" w:cs="Arial"/>
          <w:sz w:val="20"/>
          <w:szCs w:val="20"/>
        </w:rPr>
        <w:t>. Deli cheese and prepared foods and meals delivered dollar and unit gains</w:t>
      </w:r>
      <w:r w:rsidR="00B80DEB">
        <w:rPr>
          <w:rFonts w:ascii="Arial" w:hAnsi="Arial" w:cs="Arial"/>
          <w:sz w:val="20"/>
          <w:szCs w:val="20"/>
        </w:rPr>
        <w:t>, while units declined year-over-year for deli meat and deli entertaining</w:t>
      </w:r>
      <w:r w:rsidR="00834104">
        <w:rPr>
          <w:rFonts w:ascii="Arial" w:hAnsi="Arial" w:cs="Arial"/>
          <w:sz w:val="20"/>
          <w:szCs w:val="20"/>
        </w:rPr>
        <w:t xml:space="preserve">. </w:t>
      </w:r>
    </w:p>
    <w:p w14:paraId="4F9A74BC" w14:textId="77777777" w:rsidR="00A03097" w:rsidRPr="00AA0E2A" w:rsidRDefault="00A03097" w:rsidP="00A03097">
      <w:pPr>
        <w:pStyle w:val="NoSpacing"/>
        <w:rPr>
          <w:rFonts w:ascii="Arial" w:hAnsi="Arial" w:cs="Arial"/>
          <w:sz w:val="10"/>
          <w:szCs w:val="10"/>
        </w:rPr>
      </w:pPr>
    </w:p>
    <w:tbl>
      <w:tblPr>
        <w:tblStyle w:val="LightShading-Accent5"/>
        <w:tblW w:w="10440" w:type="dxa"/>
        <w:tblLayout w:type="fixed"/>
        <w:tblLook w:val="04A0" w:firstRow="1" w:lastRow="0" w:firstColumn="1" w:lastColumn="0" w:noHBand="0" w:noVBand="1"/>
      </w:tblPr>
      <w:tblGrid>
        <w:gridCol w:w="1710"/>
        <w:gridCol w:w="900"/>
        <w:gridCol w:w="90"/>
        <w:gridCol w:w="1075"/>
        <w:gridCol w:w="1333"/>
        <w:gridCol w:w="22"/>
        <w:gridCol w:w="1710"/>
        <w:gridCol w:w="934"/>
        <w:gridCol w:w="1333"/>
        <w:gridCol w:w="1333"/>
      </w:tblGrid>
      <w:tr w:rsidR="00A03097" w:rsidRPr="0003007F" w14:paraId="037F69F4" w14:textId="77777777" w:rsidTr="00A74DC1">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0F243E" w:themeFill="text2" w:themeFillShade="80"/>
          </w:tcPr>
          <w:p w14:paraId="737D37EB" w14:textId="77777777" w:rsidR="00A03097" w:rsidRPr="00AB1306" w:rsidRDefault="00A03097" w:rsidP="000D0537">
            <w:pPr>
              <w:pStyle w:val="NoSpacing"/>
              <w:rPr>
                <w:rFonts w:ascii="Arial" w:hAnsi="Arial" w:cs="Arial"/>
                <w:color w:val="FFFFFF" w:themeColor="background1"/>
                <w:sz w:val="18"/>
                <w:szCs w:val="18"/>
              </w:rPr>
            </w:pPr>
          </w:p>
        </w:tc>
        <w:tc>
          <w:tcPr>
            <w:tcW w:w="3420" w:type="dxa"/>
            <w:gridSpan w:val="5"/>
            <w:tcBorders>
              <w:top w:val="nil"/>
              <w:bottom w:val="nil"/>
            </w:tcBorders>
            <w:shd w:val="clear" w:color="auto" w:fill="0F243E" w:themeFill="text2" w:themeFillShade="80"/>
          </w:tcPr>
          <w:p w14:paraId="25D73A98" w14:textId="58B7E039" w:rsidR="00A03097" w:rsidRPr="00AB1306" w:rsidRDefault="00193E59" w:rsidP="00A74DC1">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March</w:t>
            </w:r>
            <w:r w:rsidR="00834104">
              <w:rPr>
                <w:rFonts w:ascii="Arial" w:hAnsi="Arial" w:cs="Arial"/>
                <w:color w:val="FFFFFF" w:themeColor="background1"/>
                <w:sz w:val="18"/>
                <w:szCs w:val="18"/>
              </w:rPr>
              <w:t xml:space="preserve"> </w:t>
            </w:r>
            <w:r w:rsidR="00205665">
              <w:rPr>
                <w:rFonts w:ascii="Arial" w:hAnsi="Arial" w:cs="Arial"/>
                <w:color w:val="FFFFFF" w:themeColor="background1"/>
                <w:sz w:val="18"/>
                <w:szCs w:val="18"/>
              </w:rPr>
              <w:t>2026</w:t>
            </w:r>
          </w:p>
        </w:tc>
        <w:tc>
          <w:tcPr>
            <w:tcW w:w="1710" w:type="dxa"/>
            <w:tcBorders>
              <w:top w:val="nil"/>
              <w:bottom w:val="nil"/>
            </w:tcBorders>
            <w:shd w:val="clear" w:color="auto" w:fill="0F243E" w:themeFill="text2" w:themeFillShade="80"/>
          </w:tcPr>
          <w:p w14:paraId="4CEF9563" w14:textId="77777777" w:rsidR="00A03097" w:rsidRPr="00F515F4" w:rsidRDefault="00A03097" w:rsidP="000D0537">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
        </w:tc>
        <w:tc>
          <w:tcPr>
            <w:tcW w:w="3600" w:type="dxa"/>
            <w:gridSpan w:val="3"/>
            <w:tcBorders>
              <w:top w:val="nil"/>
              <w:bottom w:val="nil"/>
            </w:tcBorders>
            <w:shd w:val="clear" w:color="auto" w:fill="0F243E" w:themeFill="text2" w:themeFillShade="80"/>
          </w:tcPr>
          <w:p w14:paraId="1E42CB56" w14:textId="145CB115" w:rsidR="00A03097" w:rsidRPr="0003007F" w:rsidRDefault="000D7CB9" w:rsidP="00A74DC1">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A03097" w:rsidRPr="002A3B9B" w14:paraId="3FFD0796" w14:textId="77777777" w:rsidTr="000D0537">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0F243E" w:themeFill="text2" w:themeFillShade="80"/>
          </w:tcPr>
          <w:p w14:paraId="4A106299" w14:textId="77777777" w:rsidR="00A03097" w:rsidRPr="002A3B9B" w:rsidRDefault="00A03097" w:rsidP="000D0537">
            <w:pPr>
              <w:pStyle w:val="NoSpacing"/>
              <w:rPr>
                <w:rFonts w:ascii="Arial" w:hAnsi="Arial" w:cs="Arial"/>
                <w:color w:val="FFFFFF" w:themeColor="background1"/>
                <w:sz w:val="18"/>
                <w:szCs w:val="18"/>
              </w:rPr>
            </w:pPr>
          </w:p>
        </w:tc>
        <w:tc>
          <w:tcPr>
            <w:tcW w:w="900" w:type="dxa"/>
            <w:tcBorders>
              <w:top w:val="nil"/>
              <w:bottom w:val="nil"/>
            </w:tcBorders>
            <w:shd w:val="clear" w:color="auto" w:fill="0F243E" w:themeFill="text2" w:themeFillShade="80"/>
          </w:tcPr>
          <w:p w14:paraId="71A360D2" w14:textId="77777777" w:rsidR="00A03097" w:rsidRPr="002A3B9B" w:rsidRDefault="00A03097" w:rsidP="000D053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sales</w:t>
            </w:r>
          </w:p>
        </w:tc>
        <w:tc>
          <w:tcPr>
            <w:tcW w:w="1165" w:type="dxa"/>
            <w:gridSpan w:val="2"/>
            <w:tcBorders>
              <w:top w:val="nil"/>
              <w:bottom w:val="nil"/>
            </w:tcBorders>
            <w:shd w:val="clear" w:color="auto" w:fill="0F243E" w:themeFill="text2" w:themeFillShade="80"/>
          </w:tcPr>
          <w:p w14:paraId="23C63EF1" w14:textId="77777777" w:rsidR="00A03097" w:rsidRPr="002A3B9B" w:rsidRDefault="00A03097" w:rsidP="000D053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w:t>
            </w:r>
            <w:r>
              <w:rPr>
                <w:rFonts w:ascii="Arial" w:hAnsi="Arial" w:cs="Arial"/>
                <w:b/>
                <w:bCs/>
                <w:color w:val="FFFFFF" w:themeColor="background1"/>
                <w:sz w:val="18"/>
                <w:szCs w:val="18"/>
              </w:rPr>
              <w:t xml:space="preserve"> vs. YA</w:t>
            </w:r>
          </w:p>
        </w:tc>
        <w:tc>
          <w:tcPr>
            <w:tcW w:w="1333" w:type="dxa"/>
            <w:tcBorders>
              <w:top w:val="nil"/>
              <w:bottom w:val="nil"/>
              <w:right w:val="single" w:sz="4" w:space="0" w:color="auto"/>
            </w:tcBorders>
            <w:shd w:val="clear" w:color="auto" w:fill="0F243E" w:themeFill="text2" w:themeFillShade="80"/>
          </w:tcPr>
          <w:p w14:paraId="076977B3" w14:textId="77777777" w:rsidR="00A03097" w:rsidRPr="002A3B9B" w:rsidRDefault="00A03097" w:rsidP="000D0537">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sidRPr="002A3B9B">
              <w:rPr>
                <w:rFonts w:ascii="Arial" w:hAnsi="Arial" w:cs="Arial"/>
                <w:b/>
                <w:bCs/>
                <w:color w:val="FFFFFF" w:themeColor="background1"/>
                <w:sz w:val="18"/>
                <w:szCs w:val="18"/>
              </w:rPr>
              <w:t>vs. YA</w:t>
            </w:r>
          </w:p>
        </w:tc>
        <w:tc>
          <w:tcPr>
            <w:tcW w:w="1732" w:type="dxa"/>
            <w:gridSpan w:val="2"/>
            <w:tcBorders>
              <w:top w:val="nil"/>
              <w:left w:val="single" w:sz="4" w:space="0" w:color="auto"/>
              <w:bottom w:val="nil"/>
            </w:tcBorders>
            <w:shd w:val="clear" w:color="auto" w:fill="0F243E" w:themeFill="text2" w:themeFillShade="80"/>
          </w:tcPr>
          <w:p w14:paraId="7421C0D3" w14:textId="77777777" w:rsidR="00A03097" w:rsidRPr="002A3B9B" w:rsidRDefault="00A03097" w:rsidP="000D0537">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
        </w:tc>
        <w:tc>
          <w:tcPr>
            <w:tcW w:w="934" w:type="dxa"/>
            <w:tcBorders>
              <w:top w:val="nil"/>
              <w:bottom w:val="nil"/>
            </w:tcBorders>
            <w:shd w:val="clear" w:color="auto" w:fill="0F243E" w:themeFill="text2" w:themeFillShade="80"/>
          </w:tcPr>
          <w:p w14:paraId="4DEF64B3" w14:textId="77777777" w:rsidR="00A03097" w:rsidRPr="002A3B9B" w:rsidRDefault="00A03097" w:rsidP="000D0537">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sales</w:t>
            </w:r>
          </w:p>
        </w:tc>
        <w:tc>
          <w:tcPr>
            <w:tcW w:w="1333" w:type="dxa"/>
            <w:tcBorders>
              <w:top w:val="nil"/>
              <w:bottom w:val="nil"/>
            </w:tcBorders>
            <w:shd w:val="clear" w:color="auto" w:fill="0F243E" w:themeFill="text2" w:themeFillShade="80"/>
          </w:tcPr>
          <w:p w14:paraId="73F6FF37" w14:textId="77777777" w:rsidR="00A03097" w:rsidRPr="002A3B9B" w:rsidRDefault="00A03097" w:rsidP="000D0537">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w:t>
            </w:r>
            <w:r>
              <w:rPr>
                <w:rFonts w:ascii="Arial" w:hAnsi="Arial" w:cs="Arial"/>
                <w:b/>
                <w:bCs/>
                <w:color w:val="FFFFFF" w:themeColor="background1"/>
                <w:sz w:val="18"/>
                <w:szCs w:val="18"/>
              </w:rPr>
              <w:t xml:space="preserve"> vs. YA</w:t>
            </w:r>
          </w:p>
        </w:tc>
        <w:tc>
          <w:tcPr>
            <w:tcW w:w="1333" w:type="dxa"/>
            <w:tcBorders>
              <w:top w:val="nil"/>
              <w:bottom w:val="nil"/>
            </w:tcBorders>
            <w:shd w:val="clear" w:color="auto" w:fill="0F243E" w:themeFill="text2" w:themeFillShade="80"/>
          </w:tcPr>
          <w:p w14:paraId="65A9D92A" w14:textId="77777777" w:rsidR="00A03097" w:rsidRPr="002A3B9B" w:rsidRDefault="00A03097" w:rsidP="000D0537">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sidRPr="002A3B9B">
              <w:rPr>
                <w:rFonts w:ascii="Arial" w:hAnsi="Arial" w:cs="Arial"/>
                <w:b/>
                <w:bCs/>
                <w:color w:val="FFFFFF" w:themeColor="background1"/>
                <w:sz w:val="18"/>
                <w:szCs w:val="18"/>
              </w:rPr>
              <w:t>vs. YA</w:t>
            </w:r>
          </w:p>
        </w:tc>
      </w:tr>
      <w:tr w:rsidR="00C15B15" w:rsidRPr="00956854" w14:paraId="411AB0F0" w14:textId="77777777" w:rsidTr="00FD125D">
        <w:trPr>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right w:val="nil"/>
            </w:tcBorders>
            <w:vAlign w:val="center"/>
          </w:tcPr>
          <w:p w14:paraId="6918CB79" w14:textId="77777777" w:rsidR="00C15B15" w:rsidRPr="00956854" w:rsidRDefault="00C15B15" w:rsidP="00C15B15">
            <w:pPr>
              <w:pStyle w:val="NoSpacing"/>
              <w:rPr>
                <w:rFonts w:ascii="Arial" w:hAnsi="Arial" w:cs="Arial"/>
                <w:b w:val="0"/>
                <w:bCs w:val="0"/>
                <w:color w:val="000000" w:themeColor="text1"/>
                <w:sz w:val="18"/>
                <w:szCs w:val="18"/>
              </w:rPr>
            </w:pPr>
            <w:r w:rsidRPr="00956854">
              <w:rPr>
                <w:rFonts w:ascii="Arial" w:hAnsi="Arial" w:cs="Arial"/>
                <w:color w:val="000000" w:themeColor="text1"/>
                <w:sz w:val="18"/>
                <w:szCs w:val="18"/>
              </w:rPr>
              <w:t>Department deli</w:t>
            </w:r>
          </w:p>
        </w:tc>
        <w:tc>
          <w:tcPr>
            <w:tcW w:w="990" w:type="dxa"/>
            <w:gridSpan w:val="2"/>
            <w:tcBorders>
              <w:top w:val="nil"/>
              <w:left w:val="nil"/>
              <w:bottom w:val="nil"/>
              <w:right w:val="nil"/>
            </w:tcBorders>
            <w:vAlign w:val="center"/>
          </w:tcPr>
          <w:p w14:paraId="7742D3D2" w14:textId="2B707D10" w:rsidR="00C15B15" w:rsidRPr="00A40F2C" w:rsidRDefault="00C15B15" w:rsidP="00FD125D">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18"/>
                <w:szCs w:val="18"/>
              </w:rPr>
            </w:pPr>
            <w:r w:rsidRPr="00A40F2C">
              <w:rPr>
                <w:rFonts w:ascii="Arial" w:hAnsi="Arial" w:cs="Arial"/>
                <w:b/>
                <w:color w:val="000000" w:themeColor="text1"/>
                <w:sz w:val="18"/>
                <w:szCs w:val="18"/>
              </w:rPr>
              <w:t>$</w:t>
            </w:r>
            <w:r w:rsidR="007E5368">
              <w:rPr>
                <w:rFonts w:ascii="Arial" w:hAnsi="Arial" w:cs="Arial"/>
                <w:b/>
                <w:color w:val="000000" w:themeColor="text1"/>
                <w:sz w:val="18"/>
                <w:szCs w:val="18"/>
              </w:rPr>
              <w:t>4.2</w:t>
            </w:r>
            <w:r w:rsidRPr="00A40F2C">
              <w:rPr>
                <w:rFonts w:ascii="Arial" w:hAnsi="Arial" w:cs="Arial"/>
                <w:b/>
                <w:color w:val="000000" w:themeColor="text1"/>
                <w:sz w:val="18"/>
                <w:szCs w:val="18"/>
              </w:rPr>
              <w:t>B</w:t>
            </w:r>
          </w:p>
        </w:tc>
        <w:tc>
          <w:tcPr>
            <w:tcW w:w="1075" w:type="dxa"/>
            <w:tcBorders>
              <w:top w:val="nil"/>
              <w:left w:val="nil"/>
              <w:bottom w:val="nil"/>
              <w:right w:val="nil"/>
            </w:tcBorders>
            <w:vAlign w:val="center"/>
          </w:tcPr>
          <w:p w14:paraId="59C50A96" w14:textId="333B1798" w:rsidR="00C15B15" w:rsidRPr="00A40F2C" w:rsidRDefault="00C15B15"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18"/>
                <w:szCs w:val="18"/>
              </w:rPr>
            </w:pPr>
            <w:r w:rsidRPr="00A40F2C">
              <w:rPr>
                <w:rFonts w:ascii="Arial" w:hAnsi="Arial" w:cs="Arial"/>
                <w:b/>
                <w:color w:val="000000" w:themeColor="text1"/>
                <w:sz w:val="18"/>
                <w:szCs w:val="18"/>
              </w:rPr>
              <w:t>+</w:t>
            </w:r>
            <w:r w:rsidR="007E5368">
              <w:rPr>
                <w:rFonts w:ascii="Arial" w:hAnsi="Arial" w:cs="Arial"/>
                <w:b/>
                <w:color w:val="000000" w:themeColor="text1"/>
                <w:sz w:val="18"/>
                <w:szCs w:val="18"/>
              </w:rPr>
              <w:t>1.6</w:t>
            </w:r>
            <w:r w:rsidRPr="00A40F2C">
              <w:rPr>
                <w:rFonts w:ascii="Arial" w:hAnsi="Arial" w:cs="Arial"/>
                <w:b/>
                <w:color w:val="000000" w:themeColor="text1"/>
                <w:sz w:val="18"/>
                <w:szCs w:val="18"/>
              </w:rPr>
              <w:t>%</w:t>
            </w:r>
          </w:p>
        </w:tc>
        <w:tc>
          <w:tcPr>
            <w:tcW w:w="1333" w:type="dxa"/>
            <w:tcBorders>
              <w:top w:val="nil"/>
              <w:left w:val="nil"/>
              <w:bottom w:val="nil"/>
              <w:right w:val="single" w:sz="4" w:space="0" w:color="auto"/>
            </w:tcBorders>
            <w:vAlign w:val="center"/>
          </w:tcPr>
          <w:p w14:paraId="7733FA86" w14:textId="4759EE73" w:rsidR="00C15B15" w:rsidRPr="00A40F2C" w:rsidRDefault="00C15B15" w:rsidP="00FD125D">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18"/>
                <w:szCs w:val="18"/>
              </w:rPr>
            </w:pPr>
            <w:r w:rsidRPr="00A40F2C">
              <w:rPr>
                <w:rFonts w:ascii="Arial" w:hAnsi="Arial" w:cs="Arial"/>
                <w:b/>
                <w:color w:val="000000" w:themeColor="text1"/>
                <w:sz w:val="18"/>
                <w:szCs w:val="18"/>
              </w:rPr>
              <w:t>+</w:t>
            </w:r>
            <w:r w:rsidR="009662A7">
              <w:rPr>
                <w:rFonts w:ascii="Arial" w:hAnsi="Arial" w:cs="Arial"/>
                <w:b/>
                <w:color w:val="000000" w:themeColor="text1"/>
                <w:sz w:val="18"/>
                <w:szCs w:val="18"/>
              </w:rPr>
              <w:t>1</w:t>
            </w:r>
            <w:r w:rsidR="00380BF9">
              <w:rPr>
                <w:rFonts w:ascii="Arial" w:hAnsi="Arial" w:cs="Arial"/>
                <w:b/>
                <w:color w:val="000000" w:themeColor="text1"/>
                <w:sz w:val="18"/>
                <w:szCs w:val="18"/>
              </w:rPr>
              <w:t>.3</w:t>
            </w:r>
            <w:r w:rsidRPr="00A40F2C">
              <w:rPr>
                <w:rFonts w:ascii="Arial" w:hAnsi="Arial" w:cs="Arial"/>
                <w:b/>
                <w:color w:val="000000" w:themeColor="text1"/>
                <w:sz w:val="18"/>
                <w:szCs w:val="18"/>
              </w:rPr>
              <w:t>%</w:t>
            </w:r>
          </w:p>
        </w:tc>
        <w:tc>
          <w:tcPr>
            <w:tcW w:w="1732" w:type="dxa"/>
            <w:gridSpan w:val="2"/>
            <w:tcBorders>
              <w:top w:val="nil"/>
              <w:left w:val="single" w:sz="4" w:space="0" w:color="auto"/>
              <w:bottom w:val="nil"/>
              <w:right w:val="nil"/>
            </w:tcBorders>
            <w:vAlign w:val="center"/>
          </w:tcPr>
          <w:p w14:paraId="201EE550" w14:textId="1FCD54FE" w:rsidR="00C15B15" w:rsidRPr="00956854" w:rsidRDefault="00C15B15" w:rsidP="00C15B15">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956854">
              <w:rPr>
                <w:rFonts w:ascii="Arial" w:hAnsi="Arial" w:cs="Arial"/>
                <w:b/>
                <w:bCs/>
                <w:color w:val="000000" w:themeColor="text1"/>
                <w:sz w:val="18"/>
                <w:szCs w:val="18"/>
              </w:rPr>
              <w:t>Department deli</w:t>
            </w:r>
          </w:p>
        </w:tc>
        <w:tc>
          <w:tcPr>
            <w:tcW w:w="934" w:type="dxa"/>
            <w:tcBorders>
              <w:top w:val="nil"/>
              <w:left w:val="nil"/>
              <w:bottom w:val="nil"/>
              <w:right w:val="nil"/>
            </w:tcBorders>
            <w:vAlign w:val="center"/>
          </w:tcPr>
          <w:p w14:paraId="5C4FE0A3" w14:textId="38E775A0" w:rsidR="00C15B15" w:rsidRPr="00C15B15" w:rsidRDefault="00C15B15" w:rsidP="00C15B1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C15B15">
              <w:rPr>
                <w:rFonts w:ascii="Arial" w:hAnsi="Arial" w:cs="Arial"/>
                <w:b/>
                <w:color w:val="000000" w:themeColor="text1"/>
                <w:sz w:val="18"/>
                <w:szCs w:val="18"/>
              </w:rPr>
              <w:t>$</w:t>
            </w:r>
            <w:r w:rsidR="007E5368">
              <w:rPr>
                <w:rFonts w:ascii="Arial" w:hAnsi="Arial" w:cs="Arial"/>
                <w:b/>
                <w:color w:val="000000" w:themeColor="text1"/>
                <w:sz w:val="18"/>
                <w:szCs w:val="18"/>
              </w:rPr>
              <w:t>56.0</w:t>
            </w:r>
            <w:r w:rsidRPr="00C15B15">
              <w:rPr>
                <w:rFonts w:ascii="Arial" w:hAnsi="Arial" w:cs="Arial"/>
                <w:b/>
                <w:color w:val="000000" w:themeColor="text1"/>
                <w:sz w:val="18"/>
                <w:szCs w:val="18"/>
              </w:rPr>
              <w:t>B</w:t>
            </w:r>
          </w:p>
        </w:tc>
        <w:tc>
          <w:tcPr>
            <w:tcW w:w="1333" w:type="dxa"/>
            <w:tcBorders>
              <w:top w:val="nil"/>
              <w:left w:val="nil"/>
              <w:bottom w:val="nil"/>
              <w:right w:val="nil"/>
            </w:tcBorders>
            <w:vAlign w:val="center"/>
          </w:tcPr>
          <w:p w14:paraId="7F69BE5A" w14:textId="4E348E02" w:rsidR="00C15B15" w:rsidRPr="00C15B15" w:rsidRDefault="00C15B15" w:rsidP="00C15B1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C15B15">
              <w:rPr>
                <w:rFonts w:ascii="Arial" w:hAnsi="Arial" w:cs="Arial"/>
                <w:b/>
                <w:color w:val="000000" w:themeColor="text1"/>
                <w:sz w:val="18"/>
                <w:szCs w:val="18"/>
              </w:rPr>
              <w:t>+</w:t>
            </w:r>
            <w:r w:rsidR="007E5368">
              <w:rPr>
                <w:rFonts w:ascii="Arial" w:hAnsi="Arial" w:cs="Arial"/>
                <w:b/>
                <w:color w:val="000000" w:themeColor="text1"/>
                <w:sz w:val="18"/>
                <w:szCs w:val="18"/>
              </w:rPr>
              <w:t>3.0</w:t>
            </w:r>
            <w:r w:rsidRPr="00C15B15">
              <w:rPr>
                <w:rFonts w:ascii="Arial" w:hAnsi="Arial" w:cs="Arial"/>
                <w:b/>
                <w:color w:val="000000" w:themeColor="text1"/>
                <w:sz w:val="18"/>
                <w:szCs w:val="18"/>
              </w:rPr>
              <w:t>%</w:t>
            </w:r>
          </w:p>
        </w:tc>
        <w:tc>
          <w:tcPr>
            <w:tcW w:w="1333" w:type="dxa"/>
            <w:tcBorders>
              <w:top w:val="nil"/>
              <w:left w:val="nil"/>
              <w:bottom w:val="nil"/>
            </w:tcBorders>
            <w:vAlign w:val="center"/>
          </w:tcPr>
          <w:p w14:paraId="16B88D8A" w14:textId="72A8079E" w:rsidR="00C15B15" w:rsidRPr="00C15B15" w:rsidRDefault="00C15B15" w:rsidP="00C15B1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C15B15">
              <w:rPr>
                <w:rFonts w:ascii="Arial" w:hAnsi="Arial" w:cs="Arial"/>
                <w:b/>
                <w:color w:val="000000" w:themeColor="text1"/>
                <w:sz w:val="18"/>
                <w:szCs w:val="18"/>
              </w:rPr>
              <w:t>+</w:t>
            </w:r>
            <w:r w:rsidR="00380BF9">
              <w:rPr>
                <w:rFonts w:ascii="Arial" w:hAnsi="Arial" w:cs="Arial"/>
                <w:b/>
                <w:color w:val="000000" w:themeColor="text1"/>
                <w:sz w:val="18"/>
                <w:szCs w:val="18"/>
              </w:rPr>
              <w:t>2.1</w:t>
            </w:r>
            <w:r w:rsidRPr="00C15B15">
              <w:rPr>
                <w:rFonts w:ascii="Arial" w:hAnsi="Arial" w:cs="Arial"/>
                <w:b/>
                <w:color w:val="000000" w:themeColor="text1"/>
                <w:sz w:val="18"/>
                <w:szCs w:val="18"/>
              </w:rPr>
              <w:t>%</w:t>
            </w:r>
          </w:p>
        </w:tc>
      </w:tr>
      <w:tr w:rsidR="009662A7" w:rsidRPr="00956854" w14:paraId="6165A02A" w14:textId="77777777" w:rsidTr="00194459">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D9D9D9" w:themeFill="background1" w:themeFillShade="D9"/>
            <w:vAlign w:val="center"/>
          </w:tcPr>
          <w:p w14:paraId="3802BDCE" w14:textId="77777777" w:rsidR="009662A7" w:rsidRPr="00956854" w:rsidRDefault="009662A7" w:rsidP="009662A7">
            <w:pPr>
              <w:pStyle w:val="NoSpacing"/>
              <w:rPr>
                <w:rFonts w:ascii="Arial" w:hAnsi="Arial" w:cs="Arial"/>
                <w:b w:val="0"/>
                <w:bCs w:val="0"/>
                <w:color w:val="000000" w:themeColor="text1"/>
                <w:sz w:val="18"/>
                <w:szCs w:val="18"/>
              </w:rPr>
            </w:pPr>
            <w:r w:rsidRPr="00956854">
              <w:rPr>
                <w:rFonts w:ascii="Arial" w:hAnsi="Arial" w:cs="Arial"/>
                <w:b w:val="0"/>
                <w:bCs w:val="0"/>
                <w:color w:val="000000" w:themeColor="text1"/>
                <w:sz w:val="18"/>
                <w:szCs w:val="18"/>
              </w:rPr>
              <w:t>Deli cheese</w:t>
            </w:r>
          </w:p>
        </w:tc>
        <w:tc>
          <w:tcPr>
            <w:tcW w:w="990" w:type="dxa"/>
            <w:gridSpan w:val="2"/>
            <w:tcBorders>
              <w:top w:val="nil"/>
              <w:bottom w:val="nil"/>
            </w:tcBorders>
            <w:shd w:val="clear" w:color="auto" w:fill="D9D9D9" w:themeFill="background1" w:themeFillShade="D9"/>
          </w:tcPr>
          <w:p w14:paraId="5C3860C6" w14:textId="736E351B" w:rsidR="009662A7" w:rsidRPr="000D0537" w:rsidRDefault="009662A7" w:rsidP="009662A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9D1B1D">
              <w:rPr>
                <w:rFonts w:ascii="Arial" w:hAnsi="Arial" w:cs="Arial"/>
                <w:color w:val="auto"/>
                <w:sz w:val="18"/>
                <w:szCs w:val="18"/>
              </w:rPr>
              <w:t>$</w:t>
            </w:r>
            <w:r w:rsidR="007E5368">
              <w:rPr>
                <w:rFonts w:ascii="Arial" w:hAnsi="Arial" w:cs="Arial"/>
                <w:color w:val="auto"/>
                <w:sz w:val="18"/>
                <w:szCs w:val="18"/>
              </w:rPr>
              <w:t>663</w:t>
            </w:r>
            <w:r w:rsidRPr="009D1B1D">
              <w:rPr>
                <w:rFonts w:ascii="Arial" w:hAnsi="Arial" w:cs="Arial"/>
                <w:color w:val="auto"/>
                <w:sz w:val="18"/>
                <w:szCs w:val="18"/>
              </w:rPr>
              <w:t>M</w:t>
            </w:r>
          </w:p>
        </w:tc>
        <w:tc>
          <w:tcPr>
            <w:tcW w:w="1075" w:type="dxa"/>
            <w:tcBorders>
              <w:top w:val="nil"/>
              <w:bottom w:val="nil"/>
            </w:tcBorders>
            <w:shd w:val="clear" w:color="auto" w:fill="D9D9D9" w:themeFill="background1" w:themeFillShade="D9"/>
          </w:tcPr>
          <w:p w14:paraId="79E57D11" w14:textId="51F988A0" w:rsidR="009662A7" w:rsidRPr="00956854" w:rsidRDefault="009662A7" w:rsidP="009662A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B2A8F">
              <w:rPr>
                <w:rFonts w:ascii="Arial" w:hAnsi="Arial" w:cs="Arial"/>
                <w:color w:val="000000"/>
                <w:sz w:val="18"/>
                <w:szCs w:val="18"/>
              </w:rPr>
              <w:t>+</w:t>
            </w:r>
            <w:r w:rsidR="007E5368">
              <w:rPr>
                <w:rFonts w:ascii="Arial" w:hAnsi="Arial" w:cs="Arial"/>
                <w:color w:val="000000"/>
                <w:sz w:val="18"/>
                <w:szCs w:val="18"/>
              </w:rPr>
              <w:t>1.7</w:t>
            </w:r>
            <w:r w:rsidRPr="00AB2A8F">
              <w:rPr>
                <w:rFonts w:ascii="Arial" w:hAnsi="Arial" w:cs="Arial"/>
                <w:color w:val="000000"/>
                <w:sz w:val="18"/>
                <w:szCs w:val="18"/>
              </w:rPr>
              <w:t>%</w:t>
            </w:r>
          </w:p>
        </w:tc>
        <w:tc>
          <w:tcPr>
            <w:tcW w:w="1333" w:type="dxa"/>
            <w:tcBorders>
              <w:top w:val="nil"/>
              <w:bottom w:val="nil"/>
              <w:right w:val="single" w:sz="4" w:space="0" w:color="auto"/>
            </w:tcBorders>
            <w:shd w:val="clear" w:color="auto" w:fill="D9D9D9" w:themeFill="background1" w:themeFillShade="D9"/>
          </w:tcPr>
          <w:p w14:paraId="73FC0004" w14:textId="06E67021" w:rsidR="009662A7" w:rsidRPr="00956854" w:rsidRDefault="009662A7" w:rsidP="009662A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A0FB7">
              <w:rPr>
                <w:rFonts w:ascii="Arial" w:hAnsi="Arial" w:cs="Arial"/>
                <w:color w:val="000000"/>
                <w:sz w:val="18"/>
                <w:szCs w:val="18"/>
              </w:rPr>
              <w:t>+</w:t>
            </w:r>
            <w:r w:rsidR="00380BF9">
              <w:rPr>
                <w:rFonts w:ascii="Arial" w:hAnsi="Arial" w:cs="Arial"/>
                <w:color w:val="000000"/>
                <w:sz w:val="18"/>
                <w:szCs w:val="18"/>
              </w:rPr>
              <w:t>1.7</w:t>
            </w:r>
            <w:r w:rsidRPr="00DA0FB7">
              <w:rPr>
                <w:rFonts w:ascii="Arial" w:hAnsi="Arial" w:cs="Arial"/>
                <w:color w:val="000000"/>
                <w:sz w:val="18"/>
                <w:szCs w:val="18"/>
              </w:rPr>
              <w:t>%</w:t>
            </w:r>
          </w:p>
        </w:tc>
        <w:tc>
          <w:tcPr>
            <w:tcW w:w="1732" w:type="dxa"/>
            <w:gridSpan w:val="2"/>
            <w:tcBorders>
              <w:top w:val="nil"/>
              <w:left w:val="single" w:sz="4" w:space="0" w:color="auto"/>
              <w:bottom w:val="nil"/>
            </w:tcBorders>
            <w:shd w:val="clear" w:color="auto" w:fill="D9D9D9" w:themeFill="background1" w:themeFillShade="D9"/>
            <w:vAlign w:val="center"/>
          </w:tcPr>
          <w:p w14:paraId="2599899F" w14:textId="77777777" w:rsidR="009662A7" w:rsidRPr="00956854" w:rsidRDefault="009662A7" w:rsidP="009662A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56854">
              <w:rPr>
                <w:rFonts w:ascii="Arial" w:hAnsi="Arial" w:cs="Arial"/>
                <w:color w:val="000000" w:themeColor="text1"/>
                <w:sz w:val="18"/>
                <w:szCs w:val="18"/>
              </w:rPr>
              <w:t>Deli cheese</w:t>
            </w:r>
          </w:p>
        </w:tc>
        <w:tc>
          <w:tcPr>
            <w:tcW w:w="934" w:type="dxa"/>
            <w:tcBorders>
              <w:top w:val="nil"/>
              <w:bottom w:val="nil"/>
            </w:tcBorders>
            <w:shd w:val="clear" w:color="auto" w:fill="D9D9D9" w:themeFill="background1" w:themeFillShade="D9"/>
          </w:tcPr>
          <w:p w14:paraId="0E416F75" w14:textId="1867B400" w:rsidR="009662A7" w:rsidRPr="00956854" w:rsidRDefault="009662A7" w:rsidP="009662A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692158">
              <w:rPr>
                <w:rFonts w:ascii="Arial" w:hAnsi="Arial" w:cs="Arial"/>
                <w:color w:val="000000" w:themeColor="text1"/>
                <w:sz w:val="18"/>
                <w:szCs w:val="18"/>
              </w:rPr>
              <w:t>$</w:t>
            </w:r>
            <w:r w:rsidR="007E5368">
              <w:rPr>
                <w:rFonts w:ascii="Arial" w:hAnsi="Arial" w:cs="Arial"/>
                <w:color w:val="000000" w:themeColor="text1"/>
                <w:sz w:val="18"/>
                <w:szCs w:val="18"/>
              </w:rPr>
              <w:t>9.1</w:t>
            </w:r>
            <w:r w:rsidRPr="00692158">
              <w:rPr>
                <w:rFonts w:ascii="Arial" w:hAnsi="Arial" w:cs="Arial"/>
                <w:color w:val="000000" w:themeColor="text1"/>
                <w:sz w:val="18"/>
                <w:szCs w:val="18"/>
              </w:rPr>
              <w:t>B</w:t>
            </w:r>
          </w:p>
        </w:tc>
        <w:tc>
          <w:tcPr>
            <w:tcW w:w="1333" w:type="dxa"/>
            <w:tcBorders>
              <w:top w:val="nil"/>
              <w:bottom w:val="nil"/>
            </w:tcBorders>
            <w:shd w:val="clear" w:color="auto" w:fill="D9D9D9" w:themeFill="background1" w:themeFillShade="D9"/>
          </w:tcPr>
          <w:p w14:paraId="7F5D950C" w14:textId="7868D862" w:rsidR="009662A7" w:rsidRPr="00956854" w:rsidRDefault="009662A7" w:rsidP="009662A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705ACB">
              <w:rPr>
                <w:rFonts w:ascii="Arial" w:hAnsi="Arial" w:cs="Arial"/>
                <w:color w:val="000000"/>
                <w:sz w:val="18"/>
                <w:szCs w:val="18"/>
              </w:rPr>
              <w:t>+</w:t>
            </w:r>
            <w:r w:rsidR="007E5368">
              <w:rPr>
                <w:rFonts w:ascii="Arial" w:hAnsi="Arial" w:cs="Arial"/>
                <w:color w:val="000000"/>
                <w:sz w:val="18"/>
                <w:szCs w:val="18"/>
              </w:rPr>
              <w:t>4.0</w:t>
            </w:r>
            <w:r w:rsidRPr="00705ACB">
              <w:rPr>
                <w:rFonts w:ascii="Arial" w:hAnsi="Arial" w:cs="Arial"/>
                <w:color w:val="000000"/>
                <w:sz w:val="18"/>
                <w:szCs w:val="18"/>
              </w:rPr>
              <w:t>%</w:t>
            </w:r>
          </w:p>
        </w:tc>
        <w:tc>
          <w:tcPr>
            <w:tcW w:w="1333" w:type="dxa"/>
            <w:tcBorders>
              <w:top w:val="nil"/>
              <w:bottom w:val="nil"/>
            </w:tcBorders>
            <w:shd w:val="clear" w:color="auto" w:fill="D9D9D9" w:themeFill="background1" w:themeFillShade="D9"/>
          </w:tcPr>
          <w:p w14:paraId="442BDA61" w14:textId="70004C2F" w:rsidR="009662A7" w:rsidRPr="00956854" w:rsidRDefault="009662A7" w:rsidP="009662A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705ACB">
              <w:rPr>
                <w:rFonts w:ascii="Arial" w:hAnsi="Arial" w:cs="Arial"/>
                <w:color w:val="000000"/>
                <w:sz w:val="18"/>
                <w:szCs w:val="18"/>
              </w:rPr>
              <w:t>+</w:t>
            </w:r>
            <w:r w:rsidR="00380BF9">
              <w:rPr>
                <w:rFonts w:ascii="Arial" w:hAnsi="Arial" w:cs="Arial"/>
                <w:color w:val="000000"/>
                <w:sz w:val="18"/>
                <w:szCs w:val="18"/>
              </w:rPr>
              <w:t>2.6</w:t>
            </w:r>
            <w:r w:rsidRPr="00705ACB">
              <w:rPr>
                <w:rFonts w:ascii="Arial" w:hAnsi="Arial" w:cs="Arial"/>
                <w:color w:val="000000"/>
                <w:sz w:val="18"/>
                <w:szCs w:val="18"/>
              </w:rPr>
              <w:t>%</w:t>
            </w:r>
          </w:p>
        </w:tc>
      </w:tr>
      <w:tr w:rsidR="009662A7" w:rsidRPr="00956854" w14:paraId="732A35CD" w14:textId="77777777" w:rsidTr="00194459">
        <w:trPr>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right w:val="nil"/>
            </w:tcBorders>
            <w:vAlign w:val="center"/>
          </w:tcPr>
          <w:p w14:paraId="12BE5ECD" w14:textId="77777777" w:rsidR="009662A7" w:rsidRPr="00956854" w:rsidRDefault="009662A7" w:rsidP="009662A7">
            <w:pPr>
              <w:pStyle w:val="NoSpacing"/>
              <w:rPr>
                <w:rFonts w:ascii="Arial" w:hAnsi="Arial" w:cs="Arial"/>
                <w:b w:val="0"/>
                <w:bCs w:val="0"/>
                <w:color w:val="000000" w:themeColor="text1"/>
                <w:sz w:val="18"/>
                <w:szCs w:val="18"/>
              </w:rPr>
            </w:pPr>
            <w:r w:rsidRPr="00956854">
              <w:rPr>
                <w:rFonts w:ascii="Arial" w:hAnsi="Arial" w:cs="Arial"/>
                <w:b w:val="0"/>
                <w:bCs w:val="0"/>
                <w:color w:val="000000" w:themeColor="text1"/>
                <w:sz w:val="18"/>
                <w:szCs w:val="18"/>
              </w:rPr>
              <w:t>Deli entertaining</w:t>
            </w:r>
          </w:p>
        </w:tc>
        <w:tc>
          <w:tcPr>
            <w:tcW w:w="990" w:type="dxa"/>
            <w:gridSpan w:val="2"/>
            <w:tcBorders>
              <w:top w:val="nil"/>
              <w:left w:val="nil"/>
              <w:bottom w:val="nil"/>
              <w:right w:val="nil"/>
            </w:tcBorders>
          </w:tcPr>
          <w:p w14:paraId="2C479566" w14:textId="1FA530CE" w:rsidR="009662A7" w:rsidRPr="000D0537" w:rsidRDefault="009662A7" w:rsidP="009662A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9D1B1D">
              <w:rPr>
                <w:rFonts w:ascii="Arial" w:hAnsi="Arial" w:cs="Arial"/>
                <w:color w:val="auto"/>
                <w:sz w:val="18"/>
                <w:szCs w:val="18"/>
              </w:rPr>
              <w:t>$</w:t>
            </w:r>
            <w:r w:rsidR="007E5368">
              <w:rPr>
                <w:rFonts w:ascii="Arial" w:hAnsi="Arial" w:cs="Arial"/>
                <w:color w:val="auto"/>
                <w:sz w:val="18"/>
                <w:szCs w:val="18"/>
              </w:rPr>
              <w:t>471</w:t>
            </w:r>
            <w:r w:rsidRPr="009D1B1D">
              <w:rPr>
                <w:rFonts w:ascii="Arial" w:hAnsi="Arial" w:cs="Arial"/>
                <w:color w:val="auto"/>
                <w:sz w:val="18"/>
                <w:szCs w:val="18"/>
              </w:rPr>
              <w:t>M</w:t>
            </w:r>
          </w:p>
        </w:tc>
        <w:tc>
          <w:tcPr>
            <w:tcW w:w="1075" w:type="dxa"/>
            <w:tcBorders>
              <w:top w:val="nil"/>
              <w:left w:val="nil"/>
              <w:bottom w:val="nil"/>
              <w:right w:val="nil"/>
            </w:tcBorders>
          </w:tcPr>
          <w:p w14:paraId="513B2300" w14:textId="0619C871" w:rsidR="009662A7" w:rsidRPr="00956854" w:rsidRDefault="007E5368" w:rsidP="009662A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+0.1</w:t>
            </w:r>
            <w:r w:rsidR="009662A7" w:rsidRPr="00AB2A8F">
              <w:rPr>
                <w:rFonts w:ascii="Arial" w:hAnsi="Arial" w:cs="Arial"/>
                <w:color w:val="000000"/>
                <w:sz w:val="18"/>
                <w:szCs w:val="18"/>
              </w:rPr>
              <w:t>%</w:t>
            </w:r>
          </w:p>
        </w:tc>
        <w:tc>
          <w:tcPr>
            <w:tcW w:w="1333" w:type="dxa"/>
            <w:tcBorders>
              <w:top w:val="nil"/>
              <w:left w:val="nil"/>
              <w:bottom w:val="nil"/>
              <w:right w:val="single" w:sz="4" w:space="0" w:color="auto"/>
            </w:tcBorders>
          </w:tcPr>
          <w:p w14:paraId="64BA92A3" w14:textId="3B2E5617" w:rsidR="009662A7" w:rsidRPr="00956854" w:rsidRDefault="009662A7" w:rsidP="009662A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380BF9">
              <w:rPr>
                <w:rFonts w:ascii="Arial" w:hAnsi="Arial" w:cs="Arial"/>
                <w:color w:val="000000"/>
                <w:sz w:val="18"/>
                <w:szCs w:val="18"/>
              </w:rPr>
              <w:t>0.3</w:t>
            </w:r>
            <w:r w:rsidRPr="00DA0FB7">
              <w:rPr>
                <w:rFonts w:ascii="Arial" w:hAnsi="Arial" w:cs="Arial"/>
                <w:color w:val="000000"/>
                <w:sz w:val="18"/>
                <w:szCs w:val="18"/>
              </w:rPr>
              <w:t>%</w:t>
            </w:r>
          </w:p>
        </w:tc>
        <w:tc>
          <w:tcPr>
            <w:tcW w:w="1732" w:type="dxa"/>
            <w:gridSpan w:val="2"/>
            <w:tcBorders>
              <w:top w:val="nil"/>
              <w:left w:val="single" w:sz="4" w:space="0" w:color="auto"/>
              <w:bottom w:val="nil"/>
              <w:right w:val="nil"/>
            </w:tcBorders>
            <w:vAlign w:val="center"/>
          </w:tcPr>
          <w:p w14:paraId="649856AC" w14:textId="77777777" w:rsidR="009662A7" w:rsidRPr="00956854" w:rsidRDefault="009662A7" w:rsidP="009662A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56854">
              <w:rPr>
                <w:rFonts w:ascii="Arial" w:hAnsi="Arial" w:cs="Arial"/>
                <w:color w:val="000000" w:themeColor="text1"/>
                <w:sz w:val="18"/>
                <w:szCs w:val="18"/>
              </w:rPr>
              <w:t>Deli entertaining</w:t>
            </w:r>
          </w:p>
        </w:tc>
        <w:tc>
          <w:tcPr>
            <w:tcW w:w="934" w:type="dxa"/>
            <w:tcBorders>
              <w:top w:val="nil"/>
              <w:left w:val="nil"/>
              <w:bottom w:val="nil"/>
              <w:right w:val="nil"/>
            </w:tcBorders>
          </w:tcPr>
          <w:p w14:paraId="4341EE0F" w14:textId="1D717FA5" w:rsidR="009662A7" w:rsidRPr="00956854" w:rsidRDefault="009662A7" w:rsidP="009662A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692158">
              <w:rPr>
                <w:rFonts w:ascii="Arial" w:hAnsi="Arial" w:cs="Arial"/>
                <w:color w:val="000000" w:themeColor="text1"/>
                <w:sz w:val="18"/>
                <w:szCs w:val="18"/>
              </w:rPr>
              <w:t>$</w:t>
            </w:r>
            <w:r w:rsidR="007E5368">
              <w:rPr>
                <w:rFonts w:ascii="Arial" w:hAnsi="Arial" w:cs="Arial"/>
                <w:color w:val="000000" w:themeColor="text1"/>
                <w:sz w:val="18"/>
                <w:szCs w:val="18"/>
              </w:rPr>
              <w:t>6.5</w:t>
            </w:r>
            <w:r w:rsidRPr="00692158">
              <w:rPr>
                <w:rFonts w:ascii="Arial" w:hAnsi="Arial" w:cs="Arial"/>
                <w:color w:val="000000" w:themeColor="text1"/>
                <w:sz w:val="18"/>
                <w:szCs w:val="18"/>
              </w:rPr>
              <w:t>B</w:t>
            </w:r>
          </w:p>
        </w:tc>
        <w:tc>
          <w:tcPr>
            <w:tcW w:w="1333" w:type="dxa"/>
            <w:tcBorders>
              <w:top w:val="nil"/>
              <w:left w:val="nil"/>
              <w:bottom w:val="nil"/>
              <w:right w:val="nil"/>
            </w:tcBorders>
          </w:tcPr>
          <w:p w14:paraId="53568CAA" w14:textId="76BB819F" w:rsidR="009662A7" w:rsidRPr="00956854" w:rsidRDefault="009662A7" w:rsidP="009662A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705ACB">
              <w:rPr>
                <w:rFonts w:ascii="Arial" w:hAnsi="Arial" w:cs="Arial"/>
                <w:color w:val="000000"/>
                <w:sz w:val="18"/>
                <w:szCs w:val="18"/>
              </w:rPr>
              <w:t>+</w:t>
            </w:r>
            <w:r w:rsidR="007E5368">
              <w:rPr>
                <w:rFonts w:ascii="Arial" w:hAnsi="Arial" w:cs="Arial"/>
                <w:color w:val="000000"/>
                <w:sz w:val="18"/>
                <w:szCs w:val="18"/>
              </w:rPr>
              <w:t>1.5</w:t>
            </w:r>
            <w:r w:rsidRPr="00705ACB">
              <w:rPr>
                <w:rFonts w:ascii="Arial" w:hAnsi="Arial" w:cs="Arial"/>
                <w:color w:val="000000"/>
                <w:sz w:val="18"/>
                <w:szCs w:val="18"/>
              </w:rPr>
              <w:t>%</w:t>
            </w:r>
          </w:p>
        </w:tc>
        <w:tc>
          <w:tcPr>
            <w:tcW w:w="1333" w:type="dxa"/>
            <w:tcBorders>
              <w:top w:val="nil"/>
              <w:left w:val="nil"/>
              <w:bottom w:val="nil"/>
            </w:tcBorders>
          </w:tcPr>
          <w:p w14:paraId="3A5F4015" w14:textId="590DC81C" w:rsidR="009662A7" w:rsidRPr="00956854" w:rsidRDefault="009662A7" w:rsidP="009662A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705ACB">
              <w:rPr>
                <w:rFonts w:ascii="Arial" w:hAnsi="Arial" w:cs="Arial"/>
                <w:color w:val="000000"/>
                <w:sz w:val="18"/>
                <w:szCs w:val="18"/>
              </w:rPr>
              <w:t>+</w:t>
            </w:r>
            <w:r w:rsidR="00380BF9">
              <w:rPr>
                <w:rFonts w:ascii="Arial" w:hAnsi="Arial" w:cs="Arial"/>
                <w:color w:val="000000"/>
                <w:sz w:val="18"/>
                <w:szCs w:val="18"/>
              </w:rPr>
              <w:t>1.1</w:t>
            </w:r>
            <w:r w:rsidRPr="00705ACB">
              <w:rPr>
                <w:rFonts w:ascii="Arial" w:hAnsi="Arial" w:cs="Arial"/>
                <w:color w:val="000000"/>
                <w:sz w:val="18"/>
                <w:szCs w:val="18"/>
              </w:rPr>
              <w:t>%</w:t>
            </w:r>
          </w:p>
        </w:tc>
      </w:tr>
      <w:tr w:rsidR="009662A7" w:rsidRPr="00956854" w14:paraId="44E435DD" w14:textId="77777777" w:rsidTr="00194459">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D9D9D9" w:themeFill="background1" w:themeFillShade="D9"/>
            <w:vAlign w:val="center"/>
          </w:tcPr>
          <w:p w14:paraId="355EE0F3" w14:textId="77777777" w:rsidR="009662A7" w:rsidRPr="00956854" w:rsidRDefault="009662A7" w:rsidP="009662A7">
            <w:pPr>
              <w:pStyle w:val="NoSpacing"/>
              <w:rPr>
                <w:rFonts w:ascii="Arial" w:hAnsi="Arial" w:cs="Arial"/>
                <w:b w:val="0"/>
                <w:bCs w:val="0"/>
                <w:color w:val="000000" w:themeColor="text1"/>
                <w:sz w:val="18"/>
                <w:szCs w:val="18"/>
              </w:rPr>
            </w:pPr>
            <w:r w:rsidRPr="00956854">
              <w:rPr>
                <w:rFonts w:ascii="Arial" w:hAnsi="Arial" w:cs="Arial"/>
                <w:b w:val="0"/>
                <w:bCs w:val="0"/>
                <w:color w:val="000000" w:themeColor="text1"/>
                <w:sz w:val="18"/>
                <w:szCs w:val="18"/>
              </w:rPr>
              <w:t>Deli meat</w:t>
            </w:r>
          </w:p>
        </w:tc>
        <w:tc>
          <w:tcPr>
            <w:tcW w:w="990" w:type="dxa"/>
            <w:gridSpan w:val="2"/>
            <w:tcBorders>
              <w:top w:val="nil"/>
              <w:bottom w:val="nil"/>
            </w:tcBorders>
            <w:shd w:val="clear" w:color="auto" w:fill="D9D9D9" w:themeFill="background1" w:themeFillShade="D9"/>
          </w:tcPr>
          <w:p w14:paraId="13E89E46" w14:textId="74DF804F" w:rsidR="009662A7" w:rsidRPr="000D0537" w:rsidRDefault="009662A7" w:rsidP="009662A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9D1B1D">
              <w:rPr>
                <w:rFonts w:ascii="Arial" w:hAnsi="Arial" w:cs="Arial"/>
                <w:color w:val="auto"/>
                <w:sz w:val="18"/>
                <w:szCs w:val="18"/>
              </w:rPr>
              <w:t>$</w:t>
            </w:r>
            <w:r w:rsidR="007E5368">
              <w:rPr>
                <w:rFonts w:ascii="Arial" w:hAnsi="Arial" w:cs="Arial"/>
                <w:color w:val="auto"/>
                <w:sz w:val="18"/>
                <w:szCs w:val="18"/>
              </w:rPr>
              <w:t>638</w:t>
            </w:r>
            <w:r w:rsidRPr="009D1B1D">
              <w:rPr>
                <w:rFonts w:ascii="Arial" w:hAnsi="Arial" w:cs="Arial"/>
                <w:color w:val="auto"/>
                <w:sz w:val="18"/>
                <w:szCs w:val="18"/>
              </w:rPr>
              <w:t>M</w:t>
            </w:r>
          </w:p>
        </w:tc>
        <w:tc>
          <w:tcPr>
            <w:tcW w:w="1075" w:type="dxa"/>
            <w:tcBorders>
              <w:top w:val="nil"/>
              <w:bottom w:val="nil"/>
            </w:tcBorders>
            <w:shd w:val="clear" w:color="auto" w:fill="D9D9D9" w:themeFill="background1" w:themeFillShade="D9"/>
          </w:tcPr>
          <w:p w14:paraId="5E0CAEA8" w14:textId="24E8E331" w:rsidR="009662A7" w:rsidRPr="00956854" w:rsidRDefault="009662A7" w:rsidP="009662A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B2A8F">
              <w:rPr>
                <w:rFonts w:ascii="Arial" w:hAnsi="Arial" w:cs="Arial"/>
                <w:color w:val="000000"/>
                <w:sz w:val="18"/>
                <w:szCs w:val="18"/>
              </w:rPr>
              <w:t>+</w:t>
            </w:r>
            <w:r w:rsidR="007E5368">
              <w:rPr>
                <w:rFonts w:ascii="Arial" w:hAnsi="Arial" w:cs="Arial"/>
                <w:color w:val="000000"/>
                <w:sz w:val="18"/>
                <w:szCs w:val="18"/>
              </w:rPr>
              <w:t>2.3</w:t>
            </w:r>
            <w:r w:rsidRPr="00AB2A8F">
              <w:rPr>
                <w:rFonts w:ascii="Arial" w:hAnsi="Arial" w:cs="Arial"/>
                <w:color w:val="000000"/>
                <w:sz w:val="18"/>
                <w:szCs w:val="18"/>
              </w:rPr>
              <w:t>%</w:t>
            </w:r>
          </w:p>
        </w:tc>
        <w:tc>
          <w:tcPr>
            <w:tcW w:w="1333" w:type="dxa"/>
            <w:tcBorders>
              <w:top w:val="nil"/>
              <w:bottom w:val="nil"/>
              <w:right w:val="single" w:sz="4" w:space="0" w:color="auto"/>
            </w:tcBorders>
            <w:shd w:val="clear" w:color="auto" w:fill="D9D9D9" w:themeFill="background1" w:themeFillShade="D9"/>
          </w:tcPr>
          <w:p w14:paraId="27954AF5" w14:textId="3864FE10" w:rsidR="009662A7" w:rsidRPr="00956854" w:rsidRDefault="009662A7" w:rsidP="009662A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380BF9">
              <w:rPr>
                <w:rFonts w:ascii="Arial" w:hAnsi="Arial" w:cs="Arial"/>
                <w:color w:val="000000"/>
                <w:sz w:val="18"/>
                <w:szCs w:val="18"/>
              </w:rPr>
              <w:t>1.1</w:t>
            </w:r>
            <w:r w:rsidRPr="00DA0FB7">
              <w:rPr>
                <w:rFonts w:ascii="Arial" w:hAnsi="Arial" w:cs="Arial"/>
                <w:color w:val="000000"/>
                <w:sz w:val="18"/>
                <w:szCs w:val="18"/>
              </w:rPr>
              <w:t>%</w:t>
            </w:r>
          </w:p>
        </w:tc>
        <w:tc>
          <w:tcPr>
            <w:tcW w:w="1732" w:type="dxa"/>
            <w:gridSpan w:val="2"/>
            <w:tcBorders>
              <w:top w:val="nil"/>
              <w:left w:val="single" w:sz="4" w:space="0" w:color="auto"/>
              <w:bottom w:val="nil"/>
            </w:tcBorders>
            <w:shd w:val="clear" w:color="auto" w:fill="D9D9D9" w:themeFill="background1" w:themeFillShade="D9"/>
            <w:vAlign w:val="center"/>
          </w:tcPr>
          <w:p w14:paraId="2569705F" w14:textId="77777777" w:rsidR="009662A7" w:rsidRPr="00956854" w:rsidRDefault="009662A7" w:rsidP="009662A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56854">
              <w:rPr>
                <w:rFonts w:ascii="Arial" w:hAnsi="Arial" w:cs="Arial"/>
                <w:color w:val="000000" w:themeColor="text1"/>
                <w:sz w:val="18"/>
                <w:szCs w:val="18"/>
              </w:rPr>
              <w:t>Deli meat</w:t>
            </w:r>
          </w:p>
        </w:tc>
        <w:tc>
          <w:tcPr>
            <w:tcW w:w="934" w:type="dxa"/>
            <w:tcBorders>
              <w:top w:val="nil"/>
              <w:bottom w:val="nil"/>
            </w:tcBorders>
            <w:shd w:val="clear" w:color="auto" w:fill="D9D9D9" w:themeFill="background1" w:themeFillShade="D9"/>
          </w:tcPr>
          <w:p w14:paraId="5908BE68" w14:textId="2A4A7CAF" w:rsidR="009662A7" w:rsidRPr="00956854" w:rsidRDefault="009662A7" w:rsidP="009662A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692158">
              <w:rPr>
                <w:rFonts w:ascii="Arial" w:hAnsi="Arial" w:cs="Arial"/>
                <w:color w:val="000000" w:themeColor="text1"/>
                <w:sz w:val="18"/>
                <w:szCs w:val="18"/>
              </w:rPr>
              <w:t>$</w:t>
            </w:r>
            <w:r w:rsidR="007E5368">
              <w:rPr>
                <w:rFonts w:ascii="Arial" w:hAnsi="Arial" w:cs="Arial"/>
                <w:color w:val="000000" w:themeColor="text1"/>
                <w:sz w:val="18"/>
                <w:szCs w:val="18"/>
              </w:rPr>
              <w:t>8.6</w:t>
            </w:r>
            <w:r w:rsidRPr="00692158">
              <w:rPr>
                <w:rFonts w:ascii="Arial" w:hAnsi="Arial" w:cs="Arial"/>
                <w:color w:val="000000" w:themeColor="text1"/>
                <w:sz w:val="18"/>
                <w:szCs w:val="18"/>
              </w:rPr>
              <w:t>B</w:t>
            </w:r>
          </w:p>
        </w:tc>
        <w:tc>
          <w:tcPr>
            <w:tcW w:w="1333" w:type="dxa"/>
            <w:tcBorders>
              <w:top w:val="nil"/>
              <w:bottom w:val="nil"/>
            </w:tcBorders>
            <w:shd w:val="clear" w:color="auto" w:fill="D9D9D9" w:themeFill="background1" w:themeFillShade="D9"/>
          </w:tcPr>
          <w:p w14:paraId="3F7D8A13" w14:textId="408B62C1" w:rsidR="009662A7" w:rsidRPr="00956854" w:rsidRDefault="007E5368" w:rsidP="009662A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+0.3</w:t>
            </w:r>
            <w:r w:rsidR="009662A7" w:rsidRPr="00E95561">
              <w:rPr>
                <w:rFonts w:ascii="Arial" w:hAnsi="Arial" w:cs="Arial"/>
                <w:color w:val="000000"/>
                <w:sz w:val="18"/>
                <w:szCs w:val="18"/>
              </w:rPr>
              <w:t>%</w:t>
            </w:r>
          </w:p>
        </w:tc>
        <w:tc>
          <w:tcPr>
            <w:tcW w:w="1333" w:type="dxa"/>
            <w:tcBorders>
              <w:top w:val="nil"/>
              <w:bottom w:val="nil"/>
            </w:tcBorders>
            <w:shd w:val="clear" w:color="auto" w:fill="D9D9D9" w:themeFill="background1" w:themeFillShade="D9"/>
          </w:tcPr>
          <w:p w14:paraId="4E26E321" w14:textId="25B5CD57" w:rsidR="009662A7" w:rsidRPr="00956854" w:rsidRDefault="009662A7" w:rsidP="009662A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380BF9">
              <w:rPr>
                <w:rFonts w:ascii="Arial" w:hAnsi="Arial" w:cs="Arial"/>
                <w:color w:val="000000"/>
                <w:sz w:val="18"/>
                <w:szCs w:val="18"/>
              </w:rPr>
              <w:t>1.9</w:t>
            </w:r>
            <w:r w:rsidRPr="00E95561">
              <w:rPr>
                <w:rFonts w:ascii="Arial" w:hAnsi="Arial" w:cs="Arial"/>
                <w:color w:val="000000"/>
                <w:sz w:val="18"/>
                <w:szCs w:val="18"/>
              </w:rPr>
              <w:t>%</w:t>
            </w:r>
          </w:p>
        </w:tc>
      </w:tr>
      <w:tr w:rsidR="009662A7" w:rsidRPr="00956854" w14:paraId="2275E43A" w14:textId="77777777" w:rsidTr="00194459">
        <w:trPr>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vAlign w:val="center"/>
          </w:tcPr>
          <w:p w14:paraId="01F34711" w14:textId="77777777" w:rsidR="009662A7" w:rsidRPr="00956854" w:rsidRDefault="009662A7" w:rsidP="009662A7">
            <w:pPr>
              <w:pStyle w:val="NoSpacing"/>
              <w:rPr>
                <w:rFonts w:ascii="Arial" w:hAnsi="Arial" w:cs="Arial"/>
                <w:color w:val="000000" w:themeColor="text1"/>
                <w:sz w:val="18"/>
                <w:szCs w:val="18"/>
              </w:rPr>
            </w:pPr>
            <w:r w:rsidRPr="00956854">
              <w:rPr>
                <w:rFonts w:ascii="Arial" w:hAnsi="Arial" w:cs="Arial"/>
                <w:b w:val="0"/>
                <w:bCs w:val="0"/>
                <w:color w:val="000000" w:themeColor="text1"/>
                <w:sz w:val="18"/>
                <w:szCs w:val="18"/>
              </w:rPr>
              <w:t>Deli prepared</w:t>
            </w:r>
          </w:p>
        </w:tc>
        <w:tc>
          <w:tcPr>
            <w:tcW w:w="990" w:type="dxa"/>
            <w:gridSpan w:val="2"/>
            <w:tcBorders>
              <w:top w:val="nil"/>
              <w:bottom w:val="nil"/>
            </w:tcBorders>
            <w:vAlign w:val="center"/>
          </w:tcPr>
          <w:p w14:paraId="6CF9FA3D" w14:textId="3B109350" w:rsidR="009662A7" w:rsidRPr="00956854" w:rsidRDefault="009662A7" w:rsidP="009662A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7E5368">
              <w:rPr>
                <w:rFonts w:ascii="Arial" w:hAnsi="Arial" w:cs="Arial"/>
                <w:color w:val="000000" w:themeColor="text1"/>
                <w:sz w:val="18"/>
                <w:szCs w:val="18"/>
              </w:rPr>
              <w:t>2.4</w:t>
            </w:r>
            <w:r>
              <w:rPr>
                <w:rFonts w:ascii="Arial" w:hAnsi="Arial" w:cs="Arial"/>
                <w:color w:val="000000" w:themeColor="text1"/>
                <w:sz w:val="18"/>
                <w:szCs w:val="18"/>
              </w:rPr>
              <w:t>B</w:t>
            </w:r>
          </w:p>
        </w:tc>
        <w:tc>
          <w:tcPr>
            <w:tcW w:w="1075" w:type="dxa"/>
            <w:tcBorders>
              <w:top w:val="nil"/>
              <w:bottom w:val="nil"/>
            </w:tcBorders>
          </w:tcPr>
          <w:p w14:paraId="4D01F6AA" w14:textId="25282D97" w:rsidR="009662A7" w:rsidRPr="00956854" w:rsidRDefault="009662A7" w:rsidP="009662A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AB21C7">
              <w:rPr>
                <w:rFonts w:ascii="Arial" w:hAnsi="Arial" w:cs="Arial"/>
                <w:color w:val="000000"/>
                <w:sz w:val="18"/>
                <w:szCs w:val="18"/>
              </w:rPr>
              <w:t>+</w:t>
            </w:r>
            <w:r w:rsidR="007E5368">
              <w:rPr>
                <w:rFonts w:ascii="Arial" w:hAnsi="Arial" w:cs="Arial"/>
                <w:color w:val="000000"/>
                <w:sz w:val="18"/>
                <w:szCs w:val="18"/>
              </w:rPr>
              <w:t>1.6</w:t>
            </w:r>
            <w:r w:rsidRPr="00AB21C7">
              <w:rPr>
                <w:rFonts w:ascii="Arial" w:hAnsi="Arial" w:cs="Arial"/>
                <w:color w:val="000000"/>
                <w:sz w:val="18"/>
                <w:szCs w:val="18"/>
              </w:rPr>
              <w:t>%</w:t>
            </w:r>
          </w:p>
        </w:tc>
        <w:tc>
          <w:tcPr>
            <w:tcW w:w="1333" w:type="dxa"/>
            <w:tcBorders>
              <w:top w:val="nil"/>
              <w:bottom w:val="nil"/>
              <w:right w:val="single" w:sz="4" w:space="0" w:color="auto"/>
            </w:tcBorders>
          </w:tcPr>
          <w:p w14:paraId="5F60B5F1" w14:textId="0820554A" w:rsidR="009662A7" w:rsidRPr="00956854" w:rsidRDefault="009662A7" w:rsidP="009662A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AB21C7">
              <w:rPr>
                <w:rFonts w:ascii="Arial" w:hAnsi="Arial" w:cs="Arial"/>
                <w:color w:val="000000"/>
                <w:sz w:val="18"/>
                <w:szCs w:val="18"/>
              </w:rPr>
              <w:t>+</w:t>
            </w:r>
            <w:r w:rsidR="00380BF9">
              <w:rPr>
                <w:rFonts w:ascii="Arial" w:hAnsi="Arial" w:cs="Arial"/>
                <w:color w:val="000000"/>
                <w:sz w:val="18"/>
                <w:szCs w:val="18"/>
              </w:rPr>
              <w:t>2.3</w:t>
            </w:r>
            <w:r w:rsidRPr="00AB21C7">
              <w:rPr>
                <w:rFonts w:ascii="Arial" w:hAnsi="Arial" w:cs="Arial"/>
                <w:color w:val="000000"/>
                <w:sz w:val="18"/>
                <w:szCs w:val="18"/>
              </w:rPr>
              <w:t>%</w:t>
            </w:r>
          </w:p>
        </w:tc>
        <w:tc>
          <w:tcPr>
            <w:tcW w:w="1732" w:type="dxa"/>
            <w:gridSpan w:val="2"/>
            <w:tcBorders>
              <w:top w:val="nil"/>
              <w:left w:val="single" w:sz="4" w:space="0" w:color="auto"/>
              <w:bottom w:val="nil"/>
            </w:tcBorders>
            <w:vAlign w:val="center"/>
          </w:tcPr>
          <w:p w14:paraId="1C30C4C1" w14:textId="77777777" w:rsidR="009662A7" w:rsidRPr="00956854" w:rsidRDefault="009662A7" w:rsidP="009662A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56854">
              <w:rPr>
                <w:rFonts w:ascii="Arial" w:hAnsi="Arial" w:cs="Arial"/>
                <w:color w:val="000000" w:themeColor="text1"/>
                <w:sz w:val="18"/>
                <w:szCs w:val="18"/>
              </w:rPr>
              <w:t>Deli prepared</w:t>
            </w:r>
          </w:p>
        </w:tc>
        <w:tc>
          <w:tcPr>
            <w:tcW w:w="934" w:type="dxa"/>
            <w:tcBorders>
              <w:top w:val="nil"/>
              <w:bottom w:val="nil"/>
            </w:tcBorders>
          </w:tcPr>
          <w:p w14:paraId="15F8F0AA" w14:textId="040D7A5C" w:rsidR="009662A7" w:rsidRPr="00956854" w:rsidRDefault="009662A7" w:rsidP="009662A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692158">
              <w:rPr>
                <w:rFonts w:ascii="Arial" w:hAnsi="Arial" w:cs="Arial"/>
                <w:color w:val="000000" w:themeColor="text1"/>
                <w:sz w:val="18"/>
                <w:szCs w:val="18"/>
              </w:rPr>
              <w:t>$</w:t>
            </w:r>
            <w:r w:rsidR="007E5368">
              <w:rPr>
                <w:rFonts w:ascii="Arial" w:hAnsi="Arial" w:cs="Arial"/>
                <w:color w:val="000000" w:themeColor="text1"/>
                <w:sz w:val="18"/>
                <w:szCs w:val="18"/>
              </w:rPr>
              <w:t>31.7</w:t>
            </w:r>
            <w:r w:rsidRPr="00692158">
              <w:rPr>
                <w:rFonts w:ascii="Arial" w:hAnsi="Arial" w:cs="Arial"/>
                <w:color w:val="000000" w:themeColor="text1"/>
                <w:sz w:val="18"/>
                <w:szCs w:val="18"/>
              </w:rPr>
              <w:t>B</w:t>
            </w:r>
          </w:p>
        </w:tc>
        <w:tc>
          <w:tcPr>
            <w:tcW w:w="1333" w:type="dxa"/>
            <w:tcBorders>
              <w:top w:val="nil"/>
              <w:bottom w:val="nil"/>
            </w:tcBorders>
          </w:tcPr>
          <w:p w14:paraId="0A35675A" w14:textId="2B1F46F4" w:rsidR="009662A7" w:rsidRPr="00956854" w:rsidRDefault="009662A7" w:rsidP="009662A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666F3E">
              <w:rPr>
                <w:rFonts w:ascii="Arial" w:hAnsi="Arial" w:cs="Arial"/>
                <w:color w:val="000000"/>
                <w:sz w:val="18"/>
                <w:szCs w:val="18"/>
              </w:rPr>
              <w:t>+</w:t>
            </w:r>
            <w:r w:rsidR="007E5368">
              <w:rPr>
                <w:rFonts w:ascii="Arial" w:hAnsi="Arial" w:cs="Arial"/>
                <w:color w:val="000000"/>
                <w:sz w:val="18"/>
                <w:szCs w:val="18"/>
              </w:rPr>
              <w:t>3.7</w:t>
            </w:r>
            <w:r w:rsidRPr="00666F3E">
              <w:rPr>
                <w:rFonts w:ascii="Arial" w:hAnsi="Arial" w:cs="Arial"/>
                <w:color w:val="000000"/>
                <w:sz w:val="18"/>
                <w:szCs w:val="18"/>
              </w:rPr>
              <w:t>%</w:t>
            </w:r>
          </w:p>
        </w:tc>
        <w:tc>
          <w:tcPr>
            <w:tcW w:w="1333" w:type="dxa"/>
            <w:tcBorders>
              <w:top w:val="nil"/>
              <w:bottom w:val="nil"/>
            </w:tcBorders>
          </w:tcPr>
          <w:p w14:paraId="3DCAA703" w14:textId="5853D810" w:rsidR="009662A7" w:rsidRPr="00956854" w:rsidRDefault="009662A7" w:rsidP="009662A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666F3E">
              <w:rPr>
                <w:rFonts w:ascii="Arial" w:hAnsi="Arial" w:cs="Arial"/>
                <w:color w:val="000000"/>
                <w:sz w:val="18"/>
                <w:szCs w:val="18"/>
              </w:rPr>
              <w:t>+</w:t>
            </w:r>
            <w:r w:rsidR="00380BF9">
              <w:rPr>
                <w:rFonts w:ascii="Arial" w:hAnsi="Arial" w:cs="Arial"/>
                <w:color w:val="000000"/>
                <w:sz w:val="18"/>
                <w:szCs w:val="18"/>
              </w:rPr>
              <w:t>3.3</w:t>
            </w:r>
            <w:r w:rsidRPr="00666F3E">
              <w:rPr>
                <w:rFonts w:ascii="Arial" w:hAnsi="Arial" w:cs="Arial"/>
                <w:color w:val="000000"/>
                <w:sz w:val="18"/>
                <w:szCs w:val="18"/>
              </w:rPr>
              <w:t>%</w:t>
            </w:r>
          </w:p>
        </w:tc>
      </w:tr>
    </w:tbl>
    <w:p w14:paraId="1FC13926" w14:textId="77777777" w:rsidR="00A03097" w:rsidRPr="00EC07EE" w:rsidRDefault="00A03097" w:rsidP="00A03097">
      <w:pPr>
        <w:rPr>
          <w:rFonts w:ascii="Arial" w:hAnsi="Arial" w:cs="Arial"/>
          <w:color w:val="7F7F7F" w:themeColor="text1" w:themeTint="80"/>
          <w:sz w:val="16"/>
          <w:szCs w:val="16"/>
        </w:rPr>
      </w:pPr>
      <w:r w:rsidRPr="00EC07EE">
        <w:rPr>
          <w:rFonts w:ascii="Arial" w:hAnsi="Arial" w:cs="Arial"/>
          <w:color w:val="7F7F7F" w:themeColor="text1" w:themeTint="80"/>
          <w:sz w:val="16"/>
          <w:szCs w:val="16"/>
        </w:rPr>
        <w:t xml:space="preserve">Source: Circana, Total US, Integrated Fresh, </w:t>
      </w:r>
      <w:r>
        <w:rPr>
          <w:rFonts w:ascii="Arial" w:hAnsi="Arial" w:cs="Arial"/>
          <w:color w:val="7F7F7F" w:themeColor="text1" w:themeTint="80"/>
          <w:sz w:val="16"/>
          <w:szCs w:val="16"/>
        </w:rPr>
        <w:t>MULO+</w:t>
      </w:r>
      <w:r w:rsidRPr="00EC07EE">
        <w:rPr>
          <w:rFonts w:ascii="Arial" w:hAnsi="Arial" w:cs="Arial"/>
          <w:color w:val="7F7F7F" w:themeColor="text1" w:themeTint="80"/>
          <w:sz w:val="16"/>
          <w:szCs w:val="16"/>
        </w:rPr>
        <w:t>, % growth versus year ago</w:t>
      </w:r>
    </w:p>
    <w:p w14:paraId="49F09DEC" w14:textId="0BD188A8" w:rsidR="00A03097" w:rsidRPr="00D61B0F" w:rsidRDefault="00A03097" w:rsidP="00A03097">
      <w:pPr>
        <w:pStyle w:val="NoSpacing"/>
        <w:rPr>
          <w:rFonts w:ascii="Arial" w:hAnsi="Arial" w:cs="Arial"/>
          <w:b/>
          <w:color w:val="595959" w:themeColor="text1" w:themeTint="A6"/>
          <w:szCs w:val="20"/>
          <w:lang w:val="en-GB"/>
        </w:rPr>
      </w:pPr>
      <w:r w:rsidRPr="00D61B0F">
        <w:rPr>
          <w:rFonts w:ascii="Arial" w:hAnsi="Arial" w:cs="Arial"/>
          <w:b/>
          <w:color w:val="595959" w:themeColor="text1" w:themeTint="A6"/>
          <w:szCs w:val="20"/>
          <w:lang w:val="en-GB"/>
        </w:rPr>
        <w:t xml:space="preserve">Deli Meat </w:t>
      </w:r>
    </w:p>
    <w:p w14:paraId="2EE737F5" w14:textId="3E79DE32" w:rsidR="00A03097" w:rsidRDefault="00B80DEB" w:rsidP="00A03097">
      <w:pPr>
        <w:spacing w:after="0" w:line="240" w:lineRule="auto"/>
        <w:rPr>
          <w:rFonts w:ascii="Arial" w:hAnsi="Arial" w:cs="Arial"/>
          <w:sz w:val="20"/>
          <w:szCs w:val="20"/>
        </w:rPr>
      </w:pPr>
      <w:r>
        <w:rPr>
          <w:rFonts w:ascii="Arial" w:hAnsi="Arial" w:cs="Arial"/>
          <w:sz w:val="20"/>
          <w:szCs w:val="20"/>
          <w:lang w:val="en-GB"/>
        </w:rPr>
        <w:t xml:space="preserve">Deli meat volume also declined year-over-year, though grab &amp; go packages are a notable exception. This has been an ongoing trend as consumers like the convenience and retailers are increasingly closing their full-service counters or reducing the hours of operation.  </w:t>
      </w:r>
    </w:p>
    <w:p w14:paraId="775A87F2" w14:textId="77777777" w:rsidR="00A03097" w:rsidRPr="004A69CA" w:rsidRDefault="00A03097" w:rsidP="00A03097">
      <w:pPr>
        <w:pStyle w:val="NoSpacing"/>
        <w:rPr>
          <w:rFonts w:ascii="Arial" w:hAnsi="Arial" w:cs="Arial"/>
          <w:sz w:val="14"/>
          <w:szCs w:val="14"/>
        </w:rPr>
      </w:pPr>
    </w:p>
    <w:tbl>
      <w:tblPr>
        <w:tblStyle w:val="LightShading-Accent5"/>
        <w:tblW w:w="10440" w:type="dxa"/>
        <w:tblLayout w:type="fixed"/>
        <w:tblLook w:val="04A0" w:firstRow="1" w:lastRow="0" w:firstColumn="1" w:lastColumn="0" w:noHBand="0" w:noVBand="1"/>
      </w:tblPr>
      <w:tblGrid>
        <w:gridCol w:w="1710"/>
        <w:gridCol w:w="900"/>
        <w:gridCol w:w="90"/>
        <w:gridCol w:w="1075"/>
        <w:gridCol w:w="1333"/>
        <w:gridCol w:w="22"/>
        <w:gridCol w:w="1710"/>
        <w:gridCol w:w="934"/>
        <w:gridCol w:w="1333"/>
        <w:gridCol w:w="1333"/>
      </w:tblGrid>
      <w:tr w:rsidR="00A03097" w:rsidRPr="0003007F" w14:paraId="1185153F" w14:textId="77777777" w:rsidTr="00A74DC1">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0F243E" w:themeFill="text2" w:themeFillShade="80"/>
          </w:tcPr>
          <w:p w14:paraId="671E35DD" w14:textId="77777777" w:rsidR="00A03097" w:rsidRPr="00AB1306" w:rsidRDefault="00A03097" w:rsidP="000D0537">
            <w:pPr>
              <w:pStyle w:val="NoSpacing"/>
              <w:rPr>
                <w:rFonts w:ascii="Arial" w:hAnsi="Arial" w:cs="Arial"/>
                <w:color w:val="FFFFFF" w:themeColor="background1"/>
                <w:sz w:val="18"/>
                <w:szCs w:val="18"/>
              </w:rPr>
            </w:pPr>
          </w:p>
        </w:tc>
        <w:tc>
          <w:tcPr>
            <w:tcW w:w="3420" w:type="dxa"/>
            <w:gridSpan w:val="5"/>
            <w:tcBorders>
              <w:top w:val="nil"/>
              <w:bottom w:val="nil"/>
            </w:tcBorders>
            <w:shd w:val="clear" w:color="auto" w:fill="0F243E" w:themeFill="text2" w:themeFillShade="80"/>
          </w:tcPr>
          <w:p w14:paraId="0D054F4E" w14:textId="277560EC" w:rsidR="00A03097" w:rsidRPr="00AB1306" w:rsidRDefault="00193E59" w:rsidP="00A74DC1">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March</w:t>
            </w:r>
            <w:r w:rsidR="00205665">
              <w:rPr>
                <w:rFonts w:ascii="Arial" w:hAnsi="Arial" w:cs="Arial"/>
                <w:color w:val="FFFFFF" w:themeColor="background1"/>
                <w:sz w:val="18"/>
                <w:szCs w:val="18"/>
              </w:rPr>
              <w:t xml:space="preserve"> 2026</w:t>
            </w:r>
          </w:p>
        </w:tc>
        <w:tc>
          <w:tcPr>
            <w:tcW w:w="1710" w:type="dxa"/>
            <w:tcBorders>
              <w:top w:val="nil"/>
              <w:bottom w:val="nil"/>
            </w:tcBorders>
            <w:shd w:val="clear" w:color="auto" w:fill="0F243E" w:themeFill="text2" w:themeFillShade="80"/>
          </w:tcPr>
          <w:p w14:paraId="1FC02C05" w14:textId="77777777" w:rsidR="00A03097" w:rsidRPr="00F515F4" w:rsidRDefault="00A03097" w:rsidP="000D0537">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
        </w:tc>
        <w:tc>
          <w:tcPr>
            <w:tcW w:w="3600" w:type="dxa"/>
            <w:gridSpan w:val="3"/>
            <w:tcBorders>
              <w:top w:val="nil"/>
              <w:bottom w:val="nil"/>
            </w:tcBorders>
            <w:shd w:val="clear" w:color="auto" w:fill="0F243E" w:themeFill="text2" w:themeFillShade="80"/>
          </w:tcPr>
          <w:p w14:paraId="2A6576A3" w14:textId="458DB584" w:rsidR="00A03097" w:rsidRPr="0003007F" w:rsidRDefault="000D7CB9" w:rsidP="00A74DC1">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A03097" w:rsidRPr="002A3B9B" w14:paraId="42EC5369" w14:textId="77777777" w:rsidTr="000D0537">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0F243E" w:themeFill="text2" w:themeFillShade="80"/>
          </w:tcPr>
          <w:p w14:paraId="398CD70C" w14:textId="77777777" w:rsidR="00A03097" w:rsidRPr="002A3B9B" w:rsidRDefault="00A03097" w:rsidP="000D0537">
            <w:pPr>
              <w:pStyle w:val="NoSpacing"/>
              <w:rPr>
                <w:rFonts w:ascii="Arial" w:hAnsi="Arial" w:cs="Arial"/>
                <w:color w:val="FFFFFF" w:themeColor="background1"/>
                <w:sz w:val="18"/>
                <w:szCs w:val="18"/>
              </w:rPr>
            </w:pPr>
            <w:r>
              <w:rPr>
                <w:rFonts w:ascii="Arial" w:hAnsi="Arial" w:cs="Arial"/>
                <w:color w:val="FFFFFF" w:themeColor="background1"/>
                <w:sz w:val="18"/>
                <w:szCs w:val="18"/>
              </w:rPr>
              <w:t>Deli meat</w:t>
            </w:r>
          </w:p>
        </w:tc>
        <w:tc>
          <w:tcPr>
            <w:tcW w:w="900" w:type="dxa"/>
            <w:tcBorders>
              <w:top w:val="nil"/>
              <w:bottom w:val="nil"/>
            </w:tcBorders>
            <w:shd w:val="clear" w:color="auto" w:fill="0F243E" w:themeFill="text2" w:themeFillShade="80"/>
          </w:tcPr>
          <w:p w14:paraId="6B22B3EF" w14:textId="77777777" w:rsidR="00A03097" w:rsidRPr="002A3B9B" w:rsidRDefault="00A03097" w:rsidP="000D053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sales</w:t>
            </w:r>
          </w:p>
        </w:tc>
        <w:tc>
          <w:tcPr>
            <w:tcW w:w="1165" w:type="dxa"/>
            <w:gridSpan w:val="2"/>
            <w:tcBorders>
              <w:top w:val="nil"/>
              <w:bottom w:val="nil"/>
            </w:tcBorders>
            <w:shd w:val="clear" w:color="auto" w:fill="0F243E" w:themeFill="text2" w:themeFillShade="80"/>
          </w:tcPr>
          <w:p w14:paraId="2D5DCA17" w14:textId="77777777" w:rsidR="00A03097" w:rsidRPr="002A3B9B" w:rsidRDefault="00A03097" w:rsidP="000D053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w:t>
            </w:r>
            <w:r>
              <w:rPr>
                <w:rFonts w:ascii="Arial" w:hAnsi="Arial" w:cs="Arial"/>
                <w:b/>
                <w:bCs/>
                <w:color w:val="FFFFFF" w:themeColor="background1"/>
                <w:sz w:val="18"/>
                <w:szCs w:val="18"/>
              </w:rPr>
              <w:t xml:space="preserve"> vs. YA</w:t>
            </w:r>
          </w:p>
        </w:tc>
        <w:tc>
          <w:tcPr>
            <w:tcW w:w="1333" w:type="dxa"/>
            <w:tcBorders>
              <w:top w:val="nil"/>
              <w:bottom w:val="nil"/>
              <w:right w:val="single" w:sz="4" w:space="0" w:color="auto"/>
            </w:tcBorders>
            <w:shd w:val="clear" w:color="auto" w:fill="0F243E" w:themeFill="text2" w:themeFillShade="80"/>
          </w:tcPr>
          <w:p w14:paraId="021EAE59" w14:textId="77777777" w:rsidR="00A03097" w:rsidRPr="002A3B9B" w:rsidRDefault="00A03097" w:rsidP="000D0537">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Lbs </w:t>
            </w:r>
            <w:r w:rsidRPr="002A3B9B">
              <w:rPr>
                <w:rFonts w:ascii="Arial" w:hAnsi="Arial" w:cs="Arial"/>
                <w:b/>
                <w:bCs/>
                <w:color w:val="FFFFFF" w:themeColor="background1"/>
                <w:sz w:val="18"/>
                <w:szCs w:val="18"/>
              </w:rPr>
              <w:t>vs. YA</w:t>
            </w:r>
          </w:p>
        </w:tc>
        <w:tc>
          <w:tcPr>
            <w:tcW w:w="1732" w:type="dxa"/>
            <w:gridSpan w:val="2"/>
            <w:tcBorders>
              <w:top w:val="nil"/>
              <w:left w:val="single" w:sz="4" w:space="0" w:color="auto"/>
              <w:bottom w:val="nil"/>
            </w:tcBorders>
            <w:shd w:val="clear" w:color="auto" w:fill="0F243E" w:themeFill="text2" w:themeFillShade="80"/>
          </w:tcPr>
          <w:p w14:paraId="6E134593" w14:textId="77777777" w:rsidR="00A03097" w:rsidRPr="002A3B9B" w:rsidRDefault="00A03097" w:rsidP="000D0537">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
        </w:tc>
        <w:tc>
          <w:tcPr>
            <w:tcW w:w="934" w:type="dxa"/>
            <w:tcBorders>
              <w:top w:val="nil"/>
              <w:bottom w:val="nil"/>
            </w:tcBorders>
            <w:shd w:val="clear" w:color="auto" w:fill="0F243E" w:themeFill="text2" w:themeFillShade="80"/>
          </w:tcPr>
          <w:p w14:paraId="74610FEA" w14:textId="77777777" w:rsidR="00A03097" w:rsidRPr="002A3B9B" w:rsidRDefault="00A03097" w:rsidP="000D0537">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sales</w:t>
            </w:r>
          </w:p>
        </w:tc>
        <w:tc>
          <w:tcPr>
            <w:tcW w:w="1333" w:type="dxa"/>
            <w:tcBorders>
              <w:top w:val="nil"/>
              <w:bottom w:val="nil"/>
            </w:tcBorders>
            <w:shd w:val="clear" w:color="auto" w:fill="0F243E" w:themeFill="text2" w:themeFillShade="80"/>
          </w:tcPr>
          <w:p w14:paraId="4AAC69FC" w14:textId="77777777" w:rsidR="00A03097" w:rsidRPr="002A3B9B" w:rsidRDefault="00A03097" w:rsidP="000D0537">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w:t>
            </w:r>
            <w:r>
              <w:rPr>
                <w:rFonts w:ascii="Arial" w:hAnsi="Arial" w:cs="Arial"/>
                <w:b/>
                <w:bCs/>
                <w:color w:val="FFFFFF" w:themeColor="background1"/>
                <w:sz w:val="18"/>
                <w:szCs w:val="18"/>
              </w:rPr>
              <w:t xml:space="preserve"> vs. YA</w:t>
            </w:r>
          </w:p>
        </w:tc>
        <w:tc>
          <w:tcPr>
            <w:tcW w:w="1333" w:type="dxa"/>
            <w:tcBorders>
              <w:top w:val="nil"/>
              <w:bottom w:val="nil"/>
            </w:tcBorders>
            <w:shd w:val="clear" w:color="auto" w:fill="0F243E" w:themeFill="text2" w:themeFillShade="80"/>
          </w:tcPr>
          <w:p w14:paraId="536ACAA1" w14:textId="77777777" w:rsidR="00A03097" w:rsidRPr="002A3B9B" w:rsidRDefault="00A03097" w:rsidP="000D0537">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Lbs </w:t>
            </w:r>
            <w:r w:rsidRPr="002A3B9B">
              <w:rPr>
                <w:rFonts w:ascii="Arial" w:hAnsi="Arial" w:cs="Arial"/>
                <w:b/>
                <w:bCs/>
                <w:color w:val="FFFFFF" w:themeColor="background1"/>
                <w:sz w:val="18"/>
                <w:szCs w:val="18"/>
              </w:rPr>
              <w:t>vs. YA</w:t>
            </w:r>
          </w:p>
        </w:tc>
      </w:tr>
      <w:tr w:rsidR="00C15B15" w:rsidRPr="00956854" w14:paraId="67F59D4C" w14:textId="77777777" w:rsidTr="00DE78F9">
        <w:trPr>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right w:val="nil"/>
            </w:tcBorders>
            <w:vAlign w:val="center"/>
          </w:tcPr>
          <w:p w14:paraId="7F48C393" w14:textId="77777777" w:rsidR="00C15B15" w:rsidRPr="00633C54" w:rsidRDefault="00C15B15" w:rsidP="00C15B15">
            <w:pPr>
              <w:pStyle w:val="NoSpacing"/>
              <w:rPr>
                <w:rFonts w:ascii="Arial" w:hAnsi="Arial" w:cs="Arial"/>
                <w:color w:val="000000" w:themeColor="text1"/>
                <w:sz w:val="18"/>
                <w:szCs w:val="18"/>
              </w:rPr>
            </w:pPr>
            <w:r w:rsidRPr="00633C54">
              <w:rPr>
                <w:rFonts w:ascii="Arial" w:hAnsi="Arial" w:cs="Arial"/>
                <w:color w:val="000000" w:themeColor="text1"/>
                <w:sz w:val="18"/>
                <w:szCs w:val="18"/>
              </w:rPr>
              <w:t>Total deli meat</w:t>
            </w:r>
          </w:p>
        </w:tc>
        <w:tc>
          <w:tcPr>
            <w:tcW w:w="990" w:type="dxa"/>
            <w:gridSpan w:val="2"/>
            <w:tcBorders>
              <w:top w:val="nil"/>
              <w:left w:val="nil"/>
              <w:bottom w:val="nil"/>
              <w:right w:val="nil"/>
            </w:tcBorders>
            <w:vAlign w:val="center"/>
          </w:tcPr>
          <w:p w14:paraId="2583D5D7" w14:textId="7B0B6461" w:rsidR="00C15B15" w:rsidRPr="00C15B15" w:rsidRDefault="001B0810" w:rsidP="00DE78F9">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color w:val="auto"/>
                <w:sz w:val="18"/>
                <w:szCs w:val="18"/>
              </w:rPr>
              <w:t>$</w:t>
            </w:r>
            <w:r w:rsidR="00380BF9">
              <w:rPr>
                <w:rFonts w:ascii="Arial" w:hAnsi="Arial" w:cs="Arial"/>
                <w:b/>
                <w:color w:val="auto"/>
                <w:sz w:val="18"/>
                <w:szCs w:val="18"/>
              </w:rPr>
              <w:t>638</w:t>
            </w:r>
            <w:r w:rsidR="00C15B15" w:rsidRPr="00C15B15">
              <w:rPr>
                <w:rFonts w:ascii="Arial" w:hAnsi="Arial" w:cs="Arial"/>
                <w:b/>
                <w:color w:val="auto"/>
                <w:sz w:val="18"/>
                <w:szCs w:val="18"/>
              </w:rPr>
              <w:t>M</w:t>
            </w:r>
          </w:p>
        </w:tc>
        <w:tc>
          <w:tcPr>
            <w:tcW w:w="1075" w:type="dxa"/>
            <w:tcBorders>
              <w:top w:val="nil"/>
              <w:left w:val="nil"/>
              <w:bottom w:val="nil"/>
              <w:right w:val="nil"/>
            </w:tcBorders>
            <w:vAlign w:val="center"/>
          </w:tcPr>
          <w:p w14:paraId="4DAF6143" w14:textId="154D9D0A" w:rsidR="00C15B15" w:rsidRPr="00C15B15" w:rsidRDefault="00211CA7" w:rsidP="00DE78F9">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color w:val="000000"/>
                <w:sz w:val="18"/>
                <w:szCs w:val="18"/>
              </w:rPr>
              <w:t>+</w:t>
            </w:r>
            <w:r w:rsidR="00380BF9">
              <w:rPr>
                <w:rFonts w:ascii="Arial" w:hAnsi="Arial" w:cs="Arial"/>
                <w:b/>
                <w:color w:val="000000"/>
                <w:sz w:val="18"/>
                <w:szCs w:val="18"/>
              </w:rPr>
              <w:t>2.3</w:t>
            </w:r>
            <w:r w:rsidR="00C15B15" w:rsidRPr="00C15B15">
              <w:rPr>
                <w:rFonts w:ascii="Arial" w:hAnsi="Arial" w:cs="Arial"/>
                <w:b/>
                <w:color w:val="000000"/>
                <w:sz w:val="18"/>
                <w:szCs w:val="18"/>
              </w:rPr>
              <w:t>%</w:t>
            </w:r>
          </w:p>
        </w:tc>
        <w:tc>
          <w:tcPr>
            <w:tcW w:w="1333" w:type="dxa"/>
            <w:tcBorders>
              <w:top w:val="nil"/>
              <w:left w:val="nil"/>
              <w:bottom w:val="nil"/>
              <w:right w:val="single" w:sz="4" w:space="0" w:color="auto"/>
            </w:tcBorders>
            <w:vAlign w:val="center"/>
          </w:tcPr>
          <w:p w14:paraId="5C331E1B" w14:textId="2C661BAE" w:rsidR="00C15B15" w:rsidRPr="00C15B15" w:rsidRDefault="00C61F27" w:rsidP="00DE78F9">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color w:val="000000"/>
                <w:sz w:val="18"/>
                <w:szCs w:val="18"/>
              </w:rPr>
              <w:t>-</w:t>
            </w:r>
            <w:r w:rsidR="00380BF9">
              <w:rPr>
                <w:rFonts w:ascii="Arial" w:hAnsi="Arial" w:cs="Arial"/>
                <w:b/>
                <w:color w:val="000000"/>
                <w:sz w:val="18"/>
                <w:szCs w:val="18"/>
              </w:rPr>
              <w:t>1.6</w:t>
            </w:r>
            <w:r w:rsidR="00C15B15" w:rsidRPr="00C15B15">
              <w:rPr>
                <w:rFonts w:ascii="Arial" w:hAnsi="Arial" w:cs="Arial"/>
                <w:b/>
                <w:color w:val="000000"/>
                <w:sz w:val="18"/>
                <w:szCs w:val="18"/>
              </w:rPr>
              <w:t>%</w:t>
            </w:r>
          </w:p>
        </w:tc>
        <w:tc>
          <w:tcPr>
            <w:tcW w:w="1732" w:type="dxa"/>
            <w:gridSpan w:val="2"/>
            <w:tcBorders>
              <w:top w:val="nil"/>
              <w:left w:val="single" w:sz="4" w:space="0" w:color="auto"/>
              <w:bottom w:val="nil"/>
              <w:right w:val="nil"/>
            </w:tcBorders>
            <w:vAlign w:val="center"/>
          </w:tcPr>
          <w:p w14:paraId="3016D8B0" w14:textId="77777777" w:rsidR="00C15B15" w:rsidRPr="00633C54" w:rsidRDefault="00C15B15" w:rsidP="00DE78F9">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633C54">
              <w:rPr>
                <w:rFonts w:ascii="Arial" w:hAnsi="Arial" w:cs="Arial"/>
                <w:b/>
                <w:bCs/>
                <w:color w:val="000000" w:themeColor="text1"/>
                <w:sz w:val="18"/>
                <w:szCs w:val="18"/>
              </w:rPr>
              <w:t>Deli meat</w:t>
            </w:r>
          </w:p>
        </w:tc>
        <w:tc>
          <w:tcPr>
            <w:tcW w:w="934" w:type="dxa"/>
            <w:tcBorders>
              <w:top w:val="nil"/>
              <w:left w:val="nil"/>
              <w:bottom w:val="nil"/>
              <w:right w:val="nil"/>
            </w:tcBorders>
            <w:vAlign w:val="center"/>
          </w:tcPr>
          <w:p w14:paraId="77839A79" w14:textId="5CF44470" w:rsidR="00C15B15" w:rsidRPr="00C15B15" w:rsidRDefault="00C15B15" w:rsidP="00DE78F9">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C15B15">
              <w:rPr>
                <w:rFonts w:ascii="Arial" w:hAnsi="Arial" w:cs="Arial"/>
                <w:b/>
                <w:color w:val="000000" w:themeColor="text1"/>
                <w:sz w:val="18"/>
                <w:szCs w:val="18"/>
              </w:rPr>
              <w:t>$</w:t>
            </w:r>
            <w:r w:rsidR="00380BF9">
              <w:rPr>
                <w:rFonts w:ascii="Arial" w:hAnsi="Arial" w:cs="Arial"/>
                <w:b/>
                <w:color w:val="000000" w:themeColor="text1"/>
                <w:sz w:val="18"/>
                <w:szCs w:val="18"/>
              </w:rPr>
              <w:t>8.6</w:t>
            </w:r>
            <w:r w:rsidRPr="00C15B15">
              <w:rPr>
                <w:rFonts w:ascii="Arial" w:hAnsi="Arial" w:cs="Arial"/>
                <w:b/>
                <w:color w:val="000000" w:themeColor="text1"/>
                <w:sz w:val="18"/>
                <w:szCs w:val="18"/>
              </w:rPr>
              <w:t>B</w:t>
            </w:r>
          </w:p>
        </w:tc>
        <w:tc>
          <w:tcPr>
            <w:tcW w:w="1333" w:type="dxa"/>
            <w:tcBorders>
              <w:top w:val="nil"/>
              <w:left w:val="nil"/>
              <w:bottom w:val="nil"/>
              <w:right w:val="nil"/>
            </w:tcBorders>
            <w:vAlign w:val="center"/>
          </w:tcPr>
          <w:p w14:paraId="0EC9F930" w14:textId="7B9DF5E9" w:rsidR="00C15B15" w:rsidRPr="00C15B15" w:rsidRDefault="00380BF9" w:rsidP="00DE78F9">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color w:val="000000" w:themeColor="text1"/>
                <w:sz w:val="18"/>
                <w:szCs w:val="18"/>
              </w:rPr>
              <w:t>+0.3</w:t>
            </w:r>
            <w:r w:rsidR="00C15B15" w:rsidRPr="00C15B15">
              <w:rPr>
                <w:rFonts w:ascii="Arial" w:hAnsi="Arial" w:cs="Arial"/>
                <w:b/>
                <w:color w:val="000000" w:themeColor="text1"/>
                <w:sz w:val="18"/>
                <w:szCs w:val="18"/>
              </w:rPr>
              <w:t>%</w:t>
            </w:r>
          </w:p>
        </w:tc>
        <w:tc>
          <w:tcPr>
            <w:tcW w:w="1333" w:type="dxa"/>
            <w:tcBorders>
              <w:top w:val="nil"/>
              <w:left w:val="nil"/>
              <w:bottom w:val="nil"/>
            </w:tcBorders>
            <w:vAlign w:val="center"/>
          </w:tcPr>
          <w:p w14:paraId="75696932" w14:textId="06FBE810" w:rsidR="00C15B15" w:rsidRPr="00C15B15" w:rsidRDefault="00C31AD9" w:rsidP="00DE78F9">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color w:val="000000" w:themeColor="text1"/>
                <w:sz w:val="18"/>
                <w:szCs w:val="18"/>
              </w:rPr>
              <w:t>-</w:t>
            </w:r>
            <w:r w:rsidR="00380BF9">
              <w:rPr>
                <w:rFonts w:ascii="Arial" w:hAnsi="Arial" w:cs="Arial"/>
                <w:b/>
                <w:color w:val="000000" w:themeColor="text1"/>
                <w:sz w:val="18"/>
                <w:szCs w:val="18"/>
              </w:rPr>
              <w:t>2.9</w:t>
            </w:r>
            <w:r w:rsidR="00C15B15" w:rsidRPr="00C15B15">
              <w:rPr>
                <w:rFonts w:ascii="Arial" w:hAnsi="Arial" w:cs="Arial"/>
                <w:b/>
                <w:color w:val="000000" w:themeColor="text1"/>
                <w:sz w:val="18"/>
                <w:szCs w:val="18"/>
              </w:rPr>
              <w:t>%</w:t>
            </w:r>
          </w:p>
        </w:tc>
      </w:tr>
      <w:tr w:rsidR="009662A7" w:rsidRPr="00956854" w14:paraId="1BC702AA" w14:textId="77777777" w:rsidTr="007E5368">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D9D9D9" w:themeFill="background1" w:themeFillShade="D9"/>
            <w:vAlign w:val="center"/>
          </w:tcPr>
          <w:p w14:paraId="54A04972" w14:textId="77777777" w:rsidR="009662A7" w:rsidRPr="00956854" w:rsidRDefault="009662A7" w:rsidP="009662A7">
            <w:pPr>
              <w:pStyle w:val="NoSpacing"/>
              <w:rPr>
                <w:rFonts w:ascii="Arial" w:hAnsi="Arial" w:cs="Arial"/>
                <w:b w:val="0"/>
                <w:bCs w:val="0"/>
                <w:color w:val="000000" w:themeColor="text1"/>
                <w:sz w:val="18"/>
                <w:szCs w:val="18"/>
              </w:rPr>
            </w:pPr>
            <w:r w:rsidRPr="00956854">
              <w:rPr>
                <w:rFonts w:ascii="Arial" w:hAnsi="Arial" w:cs="Arial"/>
                <w:b w:val="0"/>
                <w:bCs w:val="0"/>
                <w:color w:val="000000" w:themeColor="text1"/>
                <w:sz w:val="18"/>
                <w:szCs w:val="18"/>
              </w:rPr>
              <w:t>Grab &amp; go</w:t>
            </w:r>
          </w:p>
        </w:tc>
        <w:tc>
          <w:tcPr>
            <w:tcW w:w="990" w:type="dxa"/>
            <w:gridSpan w:val="2"/>
            <w:tcBorders>
              <w:top w:val="nil"/>
              <w:bottom w:val="nil"/>
            </w:tcBorders>
            <w:shd w:val="clear" w:color="auto" w:fill="D9D9D9" w:themeFill="background1" w:themeFillShade="D9"/>
          </w:tcPr>
          <w:p w14:paraId="242E7647" w14:textId="6EFA1008" w:rsidR="009662A7" w:rsidRPr="000D0537" w:rsidRDefault="009662A7" w:rsidP="009662A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BC7747">
              <w:rPr>
                <w:rFonts w:ascii="Arial" w:hAnsi="Arial" w:cs="Arial"/>
                <w:color w:val="auto"/>
                <w:sz w:val="18"/>
                <w:szCs w:val="18"/>
              </w:rPr>
              <w:t>$</w:t>
            </w:r>
            <w:r w:rsidR="00380BF9">
              <w:rPr>
                <w:rFonts w:ascii="Arial" w:hAnsi="Arial" w:cs="Arial"/>
                <w:color w:val="auto"/>
                <w:sz w:val="18"/>
                <w:szCs w:val="18"/>
              </w:rPr>
              <w:t>201</w:t>
            </w:r>
            <w:r w:rsidRPr="00BC7747">
              <w:rPr>
                <w:rFonts w:ascii="Arial" w:hAnsi="Arial" w:cs="Arial"/>
                <w:color w:val="auto"/>
                <w:sz w:val="18"/>
                <w:szCs w:val="18"/>
              </w:rPr>
              <w:t>M</w:t>
            </w:r>
          </w:p>
        </w:tc>
        <w:tc>
          <w:tcPr>
            <w:tcW w:w="1075" w:type="dxa"/>
            <w:tcBorders>
              <w:top w:val="nil"/>
              <w:bottom w:val="nil"/>
            </w:tcBorders>
            <w:shd w:val="clear" w:color="auto" w:fill="D9D9D9" w:themeFill="background1" w:themeFillShade="D9"/>
            <w:vAlign w:val="center"/>
          </w:tcPr>
          <w:p w14:paraId="257C4FCC" w14:textId="54360C3F" w:rsidR="009662A7" w:rsidRPr="006D637C" w:rsidRDefault="009662A7" w:rsidP="009662A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042CAF">
              <w:rPr>
                <w:rFonts w:ascii="Arial" w:hAnsi="Arial" w:cs="Arial"/>
                <w:color w:val="000000"/>
                <w:sz w:val="18"/>
                <w:szCs w:val="18"/>
              </w:rPr>
              <w:t>+</w:t>
            </w:r>
            <w:r w:rsidR="00380BF9">
              <w:rPr>
                <w:rFonts w:ascii="Arial" w:hAnsi="Arial" w:cs="Arial"/>
                <w:color w:val="000000"/>
                <w:sz w:val="18"/>
                <w:szCs w:val="18"/>
              </w:rPr>
              <w:t>7.2</w:t>
            </w:r>
            <w:r w:rsidRPr="00042CAF">
              <w:rPr>
                <w:rFonts w:ascii="Arial" w:hAnsi="Arial" w:cs="Arial"/>
                <w:color w:val="000000"/>
                <w:sz w:val="18"/>
                <w:szCs w:val="18"/>
              </w:rPr>
              <w:t>%</w:t>
            </w:r>
          </w:p>
        </w:tc>
        <w:tc>
          <w:tcPr>
            <w:tcW w:w="1333" w:type="dxa"/>
            <w:tcBorders>
              <w:top w:val="nil"/>
              <w:bottom w:val="nil"/>
              <w:right w:val="single" w:sz="4" w:space="0" w:color="auto"/>
            </w:tcBorders>
            <w:shd w:val="clear" w:color="auto" w:fill="D9D9D9" w:themeFill="background1" w:themeFillShade="D9"/>
            <w:vAlign w:val="center"/>
          </w:tcPr>
          <w:p w14:paraId="2D0DFBF5" w14:textId="117DC2C6" w:rsidR="009662A7" w:rsidRPr="006D637C" w:rsidRDefault="009662A7" w:rsidP="009662A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042CAF">
              <w:rPr>
                <w:rFonts w:ascii="Arial" w:hAnsi="Arial" w:cs="Arial"/>
                <w:color w:val="000000"/>
                <w:sz w:val="18"/>
                <w:szCs w:val="18"/>
              </w:rPr>
              <w:t>+</w:t>
            </w:r>
            <w:r w:rsidR="00380BF9">
              <w:rPr>
                <w:rFonts w:ascii="Arial" w:hAnsi="Arial" w:cs="Arial"/>
                <w:color w:val="000000"/>
                <w:sz w:val="18"/>
                <w:szCs w:val="18"/>
              </w:rPr>
              <w:t>9.1</w:t>
            </w:r>
            <w:r w:rsidRPr="00042CAF">
              <w:rPr>
                <w:rFonts w:ascii="Arial" w:hAnsi="Arial" w:cs="Arial"/>
                <w:color w:val="000000"/>
                <w:sz w:val="18"/>
                <w:szCs w:val="18"/>
              </w:rPr>
              <w:t>%</w:t>
            </w:r>
          </w:p>
        </w:tc>
        <w:tc>
          <w:tcPr>
            <w:tcW w:w="1732" w:type="dxa"/>
            <w:gridSpan w:val="2"/>
            <w:tcBorders>
              <w:top w:val="nil"/>
              <w:left w:val="single" w:sz="4" w:space="0" w:color="auto"/>
              <w:bottom w:val="nil"/>
            </w:tcBorders>
            <w:shd w:val="clear" w:color="auto" w:fill="D9D9D9" w:themeFill="background1" w:themeFillShade="D9"/>
            <w:vAlign w:val="center"/>
          </w:tcPr>
          <w:p w14:paraId="0C87BE59" w14:textId="77777777" w:rsidR="009662A7" w:rsidRPr="00956854" w:rsidRDefault="009662A7" w:rsidP="009662A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56854">
              <w:rPr>
                <w:rFonts w:ascii="Arial" w:hAnsi="Arial" w:cs="Arial"/>
                <w:color w:val="000000" w:themeColor="text1"/>
                <w:sz w:val="18"/>
                <w:szCs w:val="18"/>
              </w:rPr>
              <w:t>Grab &amp; go</w:t>
            </w:r>
          </w:p>
        </w:tc>
        <w:tc>
          <w:tcPr>
            <w:tcW w:w="934" w:type="dxa"/>
            <w:tcBorders>
              <w:top w:val="nil"/>
              <w:bottom w:val="nil"/>
            </w:tcBorders>
            <w:shd w:val="clear" w:color="auto" w:fill="D9D9D9" w:themeFill="background1" w:themeFillShade="D9"/>
          </w:tcPr>
          <w:p w14:paraId="4E9E15BA" w14:textId="2BF84AB9" w:rsidR="009662A7" w:rsidRPr="009662A7" w:rsidRDefault="009662A7" w:rsidP="009662A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9662A7">
              <w:rPr>
                <w:rFonts w:ascii="Arial" w:hAnsi="Arial" w:cs="Arial"/>
                <w:color w:val="000000" w:themeColor="text1"/>
                <w:sz w:val="18"/>
                <w:szCs w:val="18"/>
              </w:rPr>
              <w:t>$</w:t>
            </w:r>
            <w:r w:rsidR="00380BF9">
              <w:rPr>
                <w:rFonts w:ascii="Arial" w:hAnsi="Arial" w:cs="Arial"/>
                <w:color w:val="000000" w:themeColor="text1"/>
                <w:sz w:val="18"/>
                <w:szCs w:val="18"/>
              </w:rPr>
              <w:t>2.6</w:t>
            </w:r>
            <w:r w:rsidRPr="009662A7">
              <w:rPr>
                <w:rFonts w:ascii="Arial" w:hAnsi="Arial" w:cs="Arial"/>
                <w:color w:val="000000" w:themeColor="text1"/>
                <w:sz w:val="18"/>
                <w:szCs w:val="18"/>
              </w:rPr>
              <w:t>B</w:t>
            </w:r>
          </w:p>
        </w:tc>
        <w:tc>
          <w:tcPr>
            <w:tcW w:w="1333" w:type="dxa"/>
            <w:tcBorders>
              <w:top w:val="nil"/>
              <w:bottom w:val="nil"/>
            </w:tcBorders>
            <w:shd w:val="clear" w:color="auto" w:fill="D9D9D9" w:themeFill="background1" w:themeFillShade="D9"/>
            <w:vAlign w:val="center"/>
          </w:tcPr>
          <w:p w14:paraId="21B45FA8" w14:textId="1955CB50" w:rsidR="009662A7" w:rsidRPr="006D637C" w:rsidRDefault="009662A7" w:rsidP="009662A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w:t>
            </w:r>
            <w:r w:rsidR="00380BF9">
              <w:rPr>
                <w:rFonts w:ascii="Arial" w:hAnsi="Arial" w:cs="Arial"/>
                <w:color w:val="000000"/>
                <w:sz w:val="18"/>
                <w:szCs w:val="18"/>
              </w:rPr>
              <w:t>4.4</w:t>
            </w:r>
            <w:r w:rsidRPr="001B2A7D">
              <w:rPr>
                <w:rFonts w:ascii="Arial" w:hAnsi="Arial" w:cs="Arial"/>
                <w:color w:val="000000"/>
                <w:sz w:val="18"/>
                <w:szCs w:val="18"/>
              </w:rPr>
              <w:t>%</w:t>
            </w:r>
          </w:p>
        </w:tc>
        <w:tc>
          <w:tcPr>
            <w:tcW w:w="1333" w:type="dxa"/>
            <w:tcBorders>
              <w:top w:val="nil"/>
              <w:bottom w:val="nil"/>
            </w:tcBorders>
            <w:shd w:val="clear" w:color="auto" w:fill="D9D9D9" w:themeFill="background1" w:themeFillShade="D9"/>
            <w:vAlign w:val="center"/>
          </w:tcPr>
          <w:p w14:paraId="1FC676C4" w14:textId="5C41C1B4" w:rsidR="009662A7" w:rsidRPr="006D637C" w:rsidRDefault="009662A7" w:rsidP="009662A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w:t>
            </w:r>
            <w:r w:rsidR="00380BF9">
              <w:rPr>
                <w:rFonts w:ascii="Arial" w:hAnsi="Arial" w:cs="Arial"/>
                <w:color w:val="000000"/>
                <w:sz w:val="18"/>
                <w:szCs w:val="18"/>
              </w:rPr>
              <w:t>4.0</w:t>
            </w:r>
            <w:r w:rsidRPr="001B2A7D">
              <w:rPr>
                <w:rFonts w:ascii="Arial" w:hAnsi="Arial" w:cs="Arial"/>
                <w:color w:val="000000"/>
                <w:sz w:val="18"/>
                <w:szCs w:val="18"/>
              </w:rPr>
              <w:t>%</w:t>
            </w:r>
          </w:p>
        </w:tc>
      </w:tr>
      <w:tr w:rsidR="009662A7" w:rsidRPr="00956854" w14:paraId="19D3B31B" w14:textId="77777777" w:rsidTr="007E5368">
        <w:trPr>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right w:val="nil"/>
            </w:tcBorders>
            <w:vAlign w:val="center"/>
          </w:tcPr>
          <w:p w14:paraId="3CBDF5D8" w14:textId="77777777" w:rsidR="009662A7" w:rsidRPr="00956854" w:rsidRDefault="009662A7" w:rsidP="009662A7">
            <w:pPr>
              <w:pStyle w:val="NoSpacing"/>
              <w:rPr>
                <w:rFonts w:ascii="Arial" w:hAnsi="Arial" w:cs="Arial"/>
                <w:b w:val="0"/>
                <w:bCs w:val="0"/>
                <w:color w:val="000000" w:themeColor="text1"/>
                <w:sz w:val="18"/>
                <w:szCs w:val="18"/>
              </w:rPr>
            </w:pPr>
            <w:r w:rsidRPr="00956854">
              <w:rPr>
                <w:rFonts w:ascii="Arial" w:hAnsi="Arial" w:cs="Arial"/>
                <w:b w:val="0"/>
                <w:bCs w:val="0"/>
                <w:color w:val="000000" w:themeColor="text1"/>
                <w:sz w:val="18"/>
                <w:szCs w:val="18"/>
              </w:rPr>
              <w:t>Pre-sliced</w:t>
            </w:r>
          </w:p>
        </w:tc>
        <w:tc>
          <w:tcPr>
            <w:tcW w:w="990" w:type="dxa"/>
            <w:gridSpan w:val="2"/>
            <w:tcBorders>
              <w:top w:val="nil"/>
              <w:left w:val="nil"/>
              <w:bottom w:val="nil"/>
              <w:right w:val="nil"/>
            </w:tcBorders>
          </w:tcPr>
          <w:p w14:paraId="5E8D4140" w14:textId="346C4EE4" w:rsidR="009662A7" w:rsidRPr="000D0537" w:rsidRDefault="009662A7" w:rsidP="009662A7">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BC7747">
              <w:rPr>
                <w:rFonts w:ascii="Arial" w:hAnsi="Arial" w:cs="Arial"/>
                <w:color w:val="auto"/>
                <w:sz w:val="18"/>
                <w:szCs w:val="18"/>
              </w:rPr>
              <w:t>$</w:t>
            </w:r>
            <w:r w:rsidR="00380BF9">
              <w:rPr>
                <w:rFonts w:ascii="Arial" w:hAnsi="Arial" w:cs="Arial"/>
                <w:color w:val="auto"/>
                <w:sz w:val="18"/>
                <w:szCs w:val="18"/>
              </w:rPr>
              <w:t>111</w:t>
            </w:r>
            <w:r w:rsidRPr="00BC7747">
              <w:rPr>
                <w:rFonts w:ascii="Arial" w:hAnsi="Arial" w:cs="Arial"/>
                <w:color w:val="auto"/>
                <w:sz w:val="18"/>
                <w:szCs w:val="18"/>
              </w:rPr>
              <w:t>M</w:t>
            </w:r>
          </w:p>
        </w:tc>
        <w:tc>
          <w:tcPr>
            <w:tcW w:w="1075" w:type="dxa"/>
            <w:tcBorders>
              <w:top w:val="nil"/>
              <w:left w:val="nil"/>
              <w:bottom w:val="nil"/>
              <w:right w:val="nil"/>
            </w:tcBorders>
            <w:vAlign w:val="center"/>
          </w:tcPr>
          <w:p w14:paraId="6C0D0FA9" w14:textId="638D3BFB" w:rsidR="009662A7" w:rsidRPr="006D637C" w:rsidRDefault="009662A7" w:rsidP="009662A7">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E056EF">
              <w:rPr>
                <w:rFonts w:ascii="Arial" w:hAnsi="Arial" w:cs="Arial"/>
                <w:color w:val="000000"/>
                <w:sz w:val="18"/>
                <w:szCs w:val="18"/>
              </w:rPr>
              <w:t>-</w:t>
            </w:r>
            <w:r w:rsidR="00380BF9">
              <w:rPr>
                <w:rFonts w:ascii="Arial" w:hAnsi="Arial" w:cs="Arial"/>
                <w:color w:val="000000"/>
                <w:sz w:val="18"/>
                <w:szCs w:val="18"/>
              </w:rPr>
              <w:t>2.2</w:t>
            </w:r>
            <w:r w:rsidRPr="00E056EF">
              <w:rPr>
                <w:rFonts w:ascii="Arial" w:hAnsi="Arial" w:cs="Arial"/>
                <w:color w:val="000000"/>
                <w:sz w:val="18"/>
                <w:szCs w:val="18"/>
              </w:rPr>
              <w:t>%</w:t>
            </w:r>
          </w:p>
        </w:tc>
        <w:tc>
          <w:tcPr>
            <w:tcW w:w="1333" w:type="dxa"/>
            <w:tcBorders>
              <w:top w:val="nil"/>
              <w:left w:val="nil"/>
              <w:bottom w:val="nil"/>
              <w:right w:val="single" w:sz="4" w:space="0" w:color="auto"/>
            </w:tcBorders>
            <w:vAlign w:val="center"/>
          </w:tcPr>
          <w:p w14:paraId="4C1EB750" w14:textId="3A04BBEB" w:rsidR="009662A7" w:rsidRPr="006D637C" w:rsidRDefault="009662A7" w:rsidP="009662A7">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E056EF">
              <w:rPr>
                <w:rFonts w:ascii="Arial" w:hAnsi="Arial" w:cs="Arial"/>
                <w:color w:val="000000"/>
                <w:sz w:val="18"/>
                <w:szCs w:val="18"/>
              </w:rPr>
              <w:t>-</w:t>
            </w:r>
            <w:r w:rsidR="00380BF9">
              <w:rPr>
                <w:rFonts w:ascii="Arial" w:hAnsi="Arial" w:cs="Arial"/>
                <w:color w:val="000000"/>
                <w:sz w:val="18"/>
                <w:szCs w:val="18"/>
              </w:rPr>
              <w:t>6.6</w:t>
            </w:r>
            <w:r w:rsidRPr="00E056EF">
              <w:rPr>
                <w:rFonts w:ascii="Arial" w:hAnsi="Arial" w:cs="Arial"/>
                <w:color w:val="000000"/>
                <w:sz w:val="18"/>
                <w:szCs w:val="18"/>
              </w:rPr>
              <w:t>%</w:t>
            </w:r>
          </w:p>
        </w:tc>
        <w:tc>
          <w:tcPr>
            <w:tcW w:w="1732" w:type="dxa"/>
            <w:gridSpan w:val="2"/>
            <w:tcBorders>
              <w:top w:val="nil"/>
              <w:left w:val="single" w:sz="4" w:space="0" w:color="auto"/>
              <w:bottom w:val="nil"/>
              <w:right w:val="nil"/>
            </w:tcBorders>
            <w:vAlign w:val="center"/>
          </w:tcPr>
          <w:p w14:paraId="516B47B6" w14:textId="77777777" w:rsidR="009662A7" w:rsidRPr="00956854" w:rsidRDefault="009662A7" w:rsidP="009662A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56854">
              <w:rPr>
                <w:rFonts w:ascii="Arial" w:hAnsi="Arial" w:cs="Arial"/>
                <w:color w:val="000000" w:themeColor="text1"/>
                <w:sz w:val="18"/>
                <w:szCs w:val="18"/>
              </w:rPr>
              <w:t>Pre-sliced</w:t>
            </w:r>
          </w:p>
        </w:tc>
        <w:tc>
          <w:tcPr>
            <w:tcW w:w="934" w:type="dxa"/>
            <w:tcBorders>
              <w:top w:val="nil"/>
              <w:left w:val="nil"/>
              <w:bottom w:val="nil"/>
              <w:right w:val="nil"/>
            </w:tcBorders>
          </w:tcPr>
          <w:p w14:paraId="1BAAEE2E" w14:textId="5329BA82" w:rsidR="009662A7" w:rsidRPr="009662A7" w:rsidRDefault="009662A7" w:rsidP="009662A7">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9662A7">
              <w:rPr>
                <w:rFonts w:ascii="Arial" w:hAnsi="Arial" w:cs="Arial"/>
                <w:color w:val="000000" w:themeColor="text1"/>
                <w:sz w:val="18"/>
                <w:szCs w:val="18"/>
              </w:rPr>
              <w:t>$</w:t>
            </w:r>
            <w:r w:rsidR="00380BF9">
              <w:rPr>
                <w:rFonts w:ascii="Arial" w:hAnsi="Arial" w:cs="Arial"/>
                <w:color w:val="000000" w:themeColor="text1"/>
                <w:sz w:val="18"/>
                <w:szCs w:val="18"/>
              </w:rPr>
              <w:t>1.6</w:t>
            </w:r>
            <w:r w:rsidRPr="009662A7">
              <w:rPr>
                <w:rFonts w:ascii="Arial" w:hAnsi="Arial" w:cs="Arial"/>
                <w:color w:val="000000" w:themeColor="text1"/>
                <w:sz w:val="18"/>
                <w:szCs w:val="18"/>
              </w:rPr>
              <w:t>B</w:t>
            </w:r>
          </w:p>
        </w:tc>
        <w:tc>
          <w:tcPr>
            <w:tcW w:w="1333" w:type="dxa"/>
            <w:tcBorders>
              <w:top w:val="nil"/>
              <w:left w:val="nil"/>
              <w:bottom w:val="nil"/>
              <w:right w:val="nil"/>
            </w:tcBorders>
            <w:vAlign w:val="center"/>
          </w:tcPr>
          <w:p w14:paraId="0780251E" w14:textId="39F6B24D" w:rsidR="009662A7" w:rsidRPr="006D637C" w:rsidRDefault="009662A7" w:rsidP="009662A7">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1B2A7D">
              <w:rPr>
                <w:rFonts w:ascii="Arial" w:hAnsi="Arial" w:cs="Arial"/>
                <w:color w:val="000000"/>
                <w:sz w:val="18"/>
                <w:szCs w:val="18"/>
              </w:rPr>
              <w:t>+</w:t>
            </w:r>
            <w:r w:rsidR="00380BF9">
              <w:rPr>
                <w:rFonts w:ascii="Arial" w:hAnsi="Arial" w:cs="Arial"/>
                <w:color w:val="000000"/>
                <w:sz w:val="18"/>
                <w:szCs w:val="18"/>
              </w:rPr>
              <w:t>0.3</w:t>
            </w:r>
            <w:r w:rsidRPr="001B2A7D">
              <w:rPr>
                <w:rFonts w:ascii="Arial" w:hAnsi="Arial" w:cs="Arial"/>
                <w:color w:val="000000"/>
                <w:sz w:val="18"/>
                <w:szCs w:val="18"/>
              </w:rPr>
              <w:t>%</w:t>
            </w:r>
          </w:p>
        </w:tc>
        <w:tc>
          <w:tcPr>
            <w:tcW w:w="1333" w:type="dxa"/>
            <w:tcBorders>
              <w:top w:val="nil"/>
              <w:left w:val="nil"/>
              <w:bottom w:val="nil"/>
            </w:tcBorders>
            <w:vAlign w:val="center"/>
          </w:tcPr>
          <w:p w14:paraId="5A1CB189" w14:textId="32C11BD7" w:rsidR="009662A7" w:rsidRPr="006D637C" w:rsidRDefault="009662A7" w:rsidP="009662A7">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w:t>
            </w:r>
            <w:r w:rsidR="00380BF9">
              <w:rPr>
                <w:rFonts w:ascii="Arial" w:hAnsi="Arial" w:cs="Arial"/>
                <w:color w:val="000000"/>
                <w:sz w:val="18"/>
                <w:szCs w:val="18"/>
              </w:rPr>
              <w:t>2.0</w:t>
            </w:r>
            <w:r w:rsidRPr="001B2A7D">
              <w:rPr>
                <w:rFonts w:ascii="Arial" w:hAnsi="Arial" w:cs="Arial"/>
                <w:color w:val="000000"/>
                <w:sz w:val="18"/>
                <w:szCs w:val="18"/>
              </w:rPr>
              <w:t>%</w:t>
            </w:r>
          </w:p>
        </w:tc>
      </w:tr>
      <w:tr w:rsidR="00193E59" w:rsidRPr="00956854" w14:paraId="01A58D44" w14:textId="77777777" w:rsidTr="005A4AF8">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D9D9D9" w:themeFill="background1" w:themeFillShade="D9"/>
            <w:vAlign w:val="center"/>
          </w:tcPr>
          <w:p w14:paraId="698AE095" w14:textId="77777777" w:rsidR="00193E59" w:rsidRPr="00956854" w:rsidRDefault="00193E59" w:rsidP="00193E59">
            <w:pPr>
              <w:pStyle w:val="NoSpacing"/>
              <w:rPr>
                <w:rFonts w:ascii="Arial" w:hAnsi="Arial" w:cs="Arial"/>
                <w:b w:val="0"/>
                <w:bCs w:val="0"/>
                <w:color w:val="000000" w:themeColor="text1"/>
                <w:sz w:val="18"/>
                <w:szCs w:val="18"/>
              </w:rPr>
            </w:pPr>
            <w:r w:rsidRPr="00956854">
              <w:rPr>
                <w:rFonts w:ascii="Arial" w:hAnsi="Arial" w:cs="Arial"/>
                <w:b w:val="0"/>
                <w:bCs w:val="0"/>
                <w:color w:val="000000" w:themeColor="text1"/>
                <w:sz w:val="18"/>
                <w:szCs w:val="18"/>
              </w:rPr>
              <w:t>Service</w:t>
            </w:r>
          </w:p>
        </w:tc>
        <w:tc>
          <w:tcPr>
            <w:tcW w:w="990" w:type="dxa"/>
            <w:gridSpan w:val="2"/>
            <w:tcBorders>
              <w:top w:val="nil"/>
              <w:bottom w:val="nil"/>
            </w:tcBorders>
            <w:shd w:val="clear" w:color="auto" w:fill="D9D9D9" w:themeFill="background1" w:themeFillShade="D9"/>
          </w:tcPr>
          <w:p w14:paraId="0FD6A2CD" w14:textId="53A96997" w:rsidR="00193E59" w:rsidRPr="000D0537" w:rsidRDefault="00193E59"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BC7747">
              <w:rPr>
                <w:rFonts w:ascii="Arial" w:hAnsi="Arial" w:cs="Arial"/>
                <w:color w:val="auto"/>
                <w:sz w:val="18"/>
                <w:szCs w:val="18"/>
              </w:rPr>
              <w:t>$</w:t>
            </w:r>
            <w:r w:rsidR="00380BF9">
              <w:rPr>
                <w:rFonts w:ascii="Arial" w:hAnsi="Arial" w:cs="Arial"/>
                <w:color w:val="auto"/>
                <w:sz w:val="18"/>
                <w:szCs w:val="18"/>
              </w:rPr>
              <w:t>326</w:t>
            </w:r>
            <w:r w:rsidRPr="00BC7747">
              <w:rPr>
                <w:rFonts w:ascii="Arial" w:hAnsi="Arial" w:cs="Arial"/>
                <w:color w:val="auto"/>
                <w:sz w:val="18"/>
                <w:szCs w:val="18"/>
              </w:rPr>
              <w:t>M</w:t>
            </w:r>
          </w:p>
        </w:tc>
        <w:tc>
          <w:tcPr>
            <w:tcW w:w="1075" w:type="dxa"/>
            <w:tcBorders>
              <w:top w:val="nil"/>
              <w:bottom w:val="nil"/>
            </w:tcBorders>
            <w:shd w:val="clear" w:color="auto" w:fill="D9D9D9" w:themeFill="background1" w:themeFillShade="D9"/>
            <w:vAlign w:val="center"/>
          </w:tcPr>
          <w:p w14:paraId="383050D0" w14:textId="292763D5" w:rsidR="00193E59" w:rsidRPr="006D637C" w:rsidRDefault="00380BF9"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+1.0</w:t>
            </w:r>
            <w:r w:rsidR="00193E59" w:rsidRPr="00E056EF">
              <w:rPr>
                <w:rFonts w:ascii="Arial" w:hAnsi="Arial" w:cs="Arial"/>
                <w:color w:val="000000"/>
                <w:sz w:val="18"/>
                <w:szCs w:val="18"/>
              </w:rPr>
              <w:t>%</w:t>
            </w:r>
          </w:p>
        </w:tc>
        <w:tc>
          <w:tcPr>
            <w:tcW w:w="1333" w:type="dxa"/>
            <w:tcBorders>
              <w:top w:val="nil"/>
              <w:bottom w:val="nil"/>
              <w:right w:val="single" w:sz="4" w:space="0" w:color="auto"/>
            </w:tcBorders>
            <w:shd w:val="clear" w:color="auto" w:fill="D9D9D9" w:themeFill="background1" w:themeFillShade="D9"/>
            <w:vAlign w:val="center"/>
          </w:tcPr>
          <w:p w14:paraId="30991A33" w14:textId="314BC62D" w:rsidR="00193E59" w:rsidRPr="006D637C" w:rsidRDefault="00193E59"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E056EF">
              <w:rPr>
                <w:rFonts w:ascii="Arial" w:hAnsi="Arial" w:cs="Arial"/>
                <w:color w:val="000000"/>
                <w:sz w:val="18"/>
                <w:szCs w:val="18"/>
              </w:rPr>
              <w:t>-</w:t>
            </w:r>
            <w:r w:rsidR="00380BF9">
              <w:rPr>
                <w:rFonts w:ascii="Arial" w:hAnsi="Arial" w:cs="Arial"/>
                <w:color w:val="000000"/>
                <w:sz w:val="18"/>
                <w:szCs w:val="18"/>
              </w:rPr>
              <w:t>6.0</w:t>
            </w:r>
            <w:r w:rsidRPr="00E056EF">
              <w:rPr>
                <w:rFonts w:ascii="Arial" w:hAnsi="Arial" w:cs="Arial"/>
                <w:color w:val="000000"/>
                <w:sz w:val="18"/>
                <w:szCs w:val="18"/>
              </w:rPr>
              <w:t>%</w:t>
            </w:r>
          </w:p>
        </w:tc>
        <w:tc>
          <w:tcPr>
            <w:tcW w:w="1732" w:type="dxa"/>
            <w:gridSpan w:val="2"/>
            <w:tcBorders>
              <w:top w:val="nil"/>
              <w:left w:val="single" w:sz="4" w:space="0" w:color="auto"/>
              <w:bottom w:val="nil"/>
            </w:tcBorders>
            <w:shd w:val="clear" w:color="auto" w:fill="D9D9D9" w:themeFill="background1" w:themeFillShade="D9"/>
            <w:vAlign w:val="center"/>
          </w:tcPr>
          <w:p w14:paraId="7C8ED9CF" w14:textId="77777777" w:rsidR="00193E59" w:rsidRPr="00956854" w:rsidRDefault="00193E59" w:rsidP="00193E5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56854">
              <w:rPr>
                <w:rFonts w:ascii="Arial" w:hAnsi="Arial" w:cs="Arial"/>
                <w:color w:val="000000" w:themeColor="text1"/>
                <w:sz w:val="18"/>
                <w:szCs w:val="18"/>
              </w:rPr>
              <w:t>Service</w:t>
            </w:r>
          </w:p>
        </w:tc>
        <w:tc>
          <w:tcPr>
            <w:tcW w:w="934" w:type="dxa"/>
            <w:tcBorders>
              <w:top w:val="nil"/>
              <w:bottom w:val="nil"/>
            </w:tcBorders>
            <w:shd w:val="clear" w:color="auto" w:fill="D9D9D9" w:themeFill="background1" w:themeFillShade="D9"/>
            <w:vAlign w:val="center"/>
          </w:tcPr>
          <w:p w14:paraId="0F46DEC0" w14:textId="60D97024" w:rsidR="00193E59" w:rsidRPr="009662A7" w:rsidRDefault="009662A7"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9662A7">
              <w:rPr>
                <w:rFonts w:ascii="Arial" w:hAnsi="Arial" w:cs="Arial"/>
                <w:color w:val="000000" w:themeColor="text1"/>
                <w:sz w:val="18"/>
                <w:szCs w:val="18"/>
              </w:rPr>
              <w:t>$</w:t>
            </w:r>
            <w:r w:rsidR="00380BF9">
              <w:rPr>
                <w:rFonts w:ascii="Arial" w:hAnsi="Arial" w:cs="Arial"/>
                <w:color w:val="000000" w:themeColor="text1"/>
                <w:sz w:val="18"/>
                <w:szCs w:val="18"/>
              </w:rPr>
              <w:t>4.3</w:t>
            </w:r>
            <w:r w:rsidR="00193E59" w:rsidRPr="009662A7">
              <w:rPr>
                <w:rFonts w:ascii="Arial" w:hAnsi="Arial" w:cs="Arial"/>
                <w:color w:val="000000" w:themeColor="text1"/>
                <w:sz w:val="18"/>
                <w:szCs w:val="18"/>
              </w:rPr>
              <w:t>B</w:t>
            </w:r>
          </w:p>
        </w:tc>
        <w:tc>
          <w:tcPr>
            <w:tcW w:w="1333" w:type="dxa"/>
            <w:tcBorders>
              <w:top w:val="nil"/>
              <w:bottom w:val="nil"/>
            </w:tcBorders>
            <w:shd w:val="clear" w:color="auto" w:fill="D9D9D9" w:themeFill="background1" w:themeFillShade="D9"/>
            <w:vAlign w:val="center"/>
          </w:tcPr>
          <w:p w14:paraId="2CDC2BAA" w14:textId="6E6ADB5F" w:rsidR="00193E59" w:rsidRPr="006D637C" w:rsidRDefault="00193E59"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D95371">
              <w:rPr>
                <w:rFonts w:ascii="Arial" w:hAnsi="Arial" w:cs="Arial"/>
                <w:color w:val="000000"/>
                <w:sz w:val="18"/>
                <w:szCs w:val="18"/>
              </w:rPr>
              <w:t>-</w:t>
            </w:r>
            <w:r w:rsidR="00380BF9">
              <w:rPr>
                <w:rFonts w:ascii="Arial" w:hAnsi="Arial" w:cs="Arial"/>
                <w:color w:val="000000"/>
                <w:sz w:val="18"/>
                <w:szCs w:val="18"/>
              </w:rPr>
              <w:t>2.0</w:t>
            </w:r>
            <w:r w:rsidRPr="00D95371">
              <w:rPr>
                <w:rFonts w:ascii="Arial" w:hAnsi="Arial" w:cs="Arial"/>
                <w:color w:val="000000"/>
                <w:sz w:val="18"/>
                <w:szCs w:val="18"/>
              </w:rPr>
              <w:t>%</w:t>
            </w:r>
          </w:p>
        </w:tc>
        <w:tc>
          <w:tcPr>
            <w:tcW w:w="1333" w:type="dxa"/>
            <w:tcBorders>
              <w:top w:val="nil"/>
              <w:bottom w:val="nil"/>
            </w:tcBorders>
            <w:shd w:val="clear" w:color="auto" w:fill="D9D9D9" w:themeFill="background1" w:themeFillShade="D9"/>
            <w:vAlign w:val="center"/>
          </w:tcPr>
          <w:p w14:paraId="1583F047" w14:textId="6B0E7FF4" w:rsidR="00193E59" w:rsidRPr="006D637C" w:rsidRDefault="00193E59"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D95371">
              <w:rPr>
                <w:rFonts w:ascii="Arial" w:hAnsi="Arial" w:cs="Arial"/>
                <w:color w:val="000000"/>
                <w:sz w:val="18"/>
                <w:szCs w:val="18"/>
              </w:rPr>
              <w:t>-</w:t>
            </w:r>
            <w:r w:rsidR="00380BF9">
              <w:rPr>
                <w:rFonts w:ascii="Arial" w:hAnsi="Arial" w:cs="Arial"/>
                <w:color w:val="000000"/>
                <w:sz w:val="18"/>
                <w:szCs w:val="18"/>
              </w:rPr>
              <w:t>7.1</w:t>
            </w:r>
            <w:r w:rsidRPr="00D95371">
              <w:rPr>
                <w:rFonts w:ascii="Arial" w:hAnsi="Arial" w:cs="Arial"/>
                <w:color w:val="000000"/>
                <w:sz w:val="18"/>
                <w:szCs w:val="18"/>
              </w:rPr>
              <w:t>%</w:t>
            </w:r>
          </w:p>
        </w:tc>
      </w:tr>
    </w:tbl>
    <w:p w14:paraId="47292964" w14:textId="77777777" w:rsidR="00A03097" w:rsidRPr="00C33677" w:rsidRDefault="00A03097" w:rsidP="00A03097">
      <w:pPr>
        <w:pStyle w:val="NoSpacing"/>
        <w:rPr>
          <w:rFonts w:ascii="Arial" w:hAnsi="Arial" w:cs="Arial"/>
          <w:sz w:val="8"/>
          <w:szCs w:val="8"/>
        </w:rPr>
      </w:pPr>
    </w:p>
    <w:p w14:paraId="1125CA4F" w14:textId="77777777" w:rsidR="00A03097" w:rsidRPr="00EC07EE" w:rsidRDefault="00A03097" w:rsidP="00A03097">
      <w:pPr>
        <w:pStyle w:val="NoSpacing"/>
        <w:rPr>
          <w:rFonts w:ascii="Arial" w:hAnsi="Arial" w:cs="Arial"/>
          <w:color w:val="7F7F7F" w:themeColor="text1" w:themeTint="80"/>
          <w:sz w:val="16"/>
          <w:szCs w:val="16"/>
        </w:rPr>
      </w:pPr>
      <w:r w:rsidRPr="00EC07EE">
        <w:rPr>
          <w:rFonts w:ascii="Arial" w:hAnsi="Arial" w:cs="Arial"/>
          <w:color w:val="7F7F7F" w:themeColor="text1" w:themeTint="80"/>
          <w:sz w:val="16"/>
          <w:szCs w:val="16"/>
        </w:rPr>
        <w:t xml:space="preserve">Source: Circana, Total US, </w:t>
      </w:r>
      <w:r>
        <w:rPr>
          <w:rFonts w:ascii="Arial" w:hAnsi="Arial" w:cs="Arial"/>
          <w:color w:val="7F7F7F" w:themeColor="text1" w:themeTint="80"/>
          <w:sz w:val="16"/>
          <w:szCs w:val="16"/>
        </w:rPr>
        <w:t>MULO+</w:t>
      </w:r>
      <w:r w:rsidRPr="00EC07EE">
        <w:rPr>
          <w:rFonts w:ascii="Arial" w:hAnsi="Arial" w:cs="Arial"/>
          <w:color w:val="7F7F7F" w:themeColor="text1" w:themeTint="80"/>
          <w:sz w:val="16"/>
          <w:szCs w:val="16"/>
        </w:rPr>
        <w:t>, Integrated Fresh % growth versus year ago</w:t>
      </w:r>
    </w:p>
    <w:p w14:paraId="71CEE3A1" w14:textId="77777777" w:rsidR="00A03097" w:rsidRDefault="00A03097" w:rsidP="00A03097">
      <w:pPr>
        <w:pStyle w:val="NoSpacing"/>
        <w:rPr>
          <w:rFonts w:ascii="Arial" w:hAnsi="Arial" w:cs="Arial"/>
          <w:b/>
          <w:color w:val="595959" w:themeColor="text1" w:themeTint="A6"/>
          <w:sz w:val="20"/>
          <w:szCs w:val="20"/>
        </w:rPr>
      </w:pPr>
    </w:p>
    <w:p w14:paraId="04D6495E" w14:textId="736EC1A3" w:rsidR="00A03097" w:rsidRDefault="00F2214F" w:rsidP="00A03097">
      <w:pPr>
        <w:pStyle w:val="NoSpacing"/>
        <w:rPr>
          <w:rFonts w:ascii="Arial" w:hAnsi="Arial" w:cs="Arial"/>
          <w:b/>
          <w:bCs/>
          <w:sz w:val="20"/>
          <w:szCs w:val="20"/>
        </w:rPr>
      </w:pPr>
      <w:r>
        <w:rPr>
          <w:rFonts w:ascii="Arial" w:hAnsi="Arial" w:cs="Arial"/>
          <w:sz w:val="20"/>
          <w:szCs w:val="20"/>
        </w:rPr>
        <w:t xml:space="preserve">Deli meat </w:t>
      </w:r>
      <w:r w:rsidR="00DE78F9">
        <w:rPr>
          <w:rFonts w:ascii="Arial" w:hAnsi="Arial" w:cs="Arial"/>
          <w:sz w:val="20"/>
          <w:szCs w:val="20"/>
        </w:rPr>
        <w:t xml:space="preserve">results </w:t>
      </w:r>
      <w:r w:rsidR="004E5A7A">
        <w:rPr>
          <w:rFonts w:ascii="Arial" w:hAnsi="Arial" w:cs="Arial"/>
          <w:sz w:val="20"/>
          <w:szCs w:val="20"/>
        </w:rPr>
        <w:t xml:space="preserve">were far better than packaged lunch meat, that had a tough month. </w:t>
      </w:r>
      <w:r>
        <w:rPr>
          <w:rFonts w:ascii="Arial" w:hAnsi="Arial" w:cs="Arial"/>
          <w:sz w:val="20"/>
          <w:szCs w:val="20"/>
        </w:rPr>
        <w:t xml:space="preserve"> </w:t>
      </w:r>
    </w:p>
    <w:p w14:paraId="2BC95286" w14:textId="77777777" w:rsidR="00A03097" w:rsidRPr="004A69CA" w:rsidRDefault="00A03097" w:rsidP="00A03097">
      <w:pPr>
        <w:pStyle w:val="NoSpacing"/>
        <w:rPr>
          <w:rFonts w:ascii="Arial" w:hAnsi="Arial" w:cs="Arial"/>
          <w:sz w:val="14"/>
          <w:szCs w:val="14"/>
        </w:rPr>
      </w:pPr>
    </w:p>
    <w:tbl>
      <w:tblPr>
        <w:tblStyle w:val="LightShading-Accent5"/>
        <w:tblW w:w="10440" w:type="dxa"/>
        <w:tblLayout w:type="fixed"/>
        <w:tblLook w:val="04A0" w:firstRow="1" w:lastRow="0" w:firstColumn="1" w:lastColumn="0" w:noHBand="0" w:noVBand="1"/>
      </w:tblPr>
      <w:tblGrid>
        <w:gridCol w:w="1710"/>
        <w:gridCol w:w="900"/>
        <w:gridCol w:w="1165"/>
        <w:gridCol w:w="1328"/>
        <w:gridCol w:w="27"/>
        <w:gridCol w:w="1710"/>
        <w:gridCol w:w="934"/>
        <w:gridCol w:w="1333"/>
        <w:gridCol w:w="1333"/>
      </w:tblGrid>
      <w:tr w:rsidR="00A03097" w:rsidRPr="0003007F" w14:paraId="01FCD658" w14:textId="77777777" w:rsidTr="00A74DC1">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0F243E" w:themeFill="text2" w:themeFillShade="80"/>
          </w:tcPr>
          <w:p w14:paraId="656F9B12" w14:textId="77777777" w:rsidR="00A03097" w:rsidRPr="00AB1306" w:rsidRDefault="00A03097" w:rsidP="000D0537">
            <w:pPr>
              <w:pStyle w:val="NoSpacing"/>
              <w:rPr>
                <w:rFonts w:ascii="Arial" w:hAnsi="Arial" w:cs="Arial"/>
                <w:color w:val="FFFFFF" w:themeColor="background1"/>
                <w:sz w:val="18"/>
                <w:szCs w:val="18"/>
              </w:rPr>
            </w:pPr>
            <w:r>
              <w:rPr>
                <w:rFonts w:ascii="Arial" w:hAnsi="Arial" w:cs="Arial"/>
                <w:color w:val="FFFFFF" w:themeColor="background1"/>
                <w:sz w:val="18"/>
                <w:szCs w:val="18"/>
              </w:rPr>
              <w:t>Pre-packaged</w:t>
            </w:r>
          </w:p>
        </w:tc>
        <w:tc>
          <w:tcPr>
            <w:tcW w:w="3420" w:type="dxa"/>
            <w:gridSpan w:val="4"/>
            <w:tcBorders>
              <w:top w:val="nil"/>
              <w:bottom w:val="nil"/>
            </w:tcBorders>
            <w:shd w:val="clear" w:color="auto" w:fill="0F243E" w:themeFill="text2" w:themeFillShade="80"/>
          </w:tcPr>
          <w:p w14:paraId="059CEAD1" w14:textId="62E281B9" w:rsidR="00A03097" w:rsidRPr="00AB1306" w:rsidRDefault="00193E59" w:rsidP="00A74DC1">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March</w:t>
            </w:r>
            <w:r w:rsidR="00205665">
              <w:rPr>
                <w:rFonts w:ascii="Arial" w:hAnsi="Arial" w:cs="Arial"/>
                <w:color w:val="FFFFFF" w:themeColor="background1"/>
                <w:sz w:val="18"/>
                <w:szCs w:val="18"/>
              </w:rPr>
              <w:t xml:space="preserve"> 2026</w:t>
            </w:r>
          </w:p>
        </w:tc>
        <w:tc>
          <w:tcPr>
            <w:tcW w:w="1710" w:type="dxa"/>
            <w:tcBorders>
              <w:top w:val="nil"/>
              <w:bottom w:val="nil"/>
            </w:tcBorders>
            <w:shd w:val="clear" w:color="auto" w:fill="0F243E" w:themeFill="text2" w:themeFillShade="80"/>
          </w:tcPr>
          <w:p w14:paraId="6FE90F44" w14:textId="77777777" w:rsidR="00A03097" w:rsidRPr="00F515F4" w:rsidRDefault="00A03097" w:rsidP="000D0537">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
        </w:tc>
        <w:tc>
          <w:tcPr>
            <w:tcW w:w="3600" w:type="dxa"/>
            <w:gridSpan w:val="3"/>
            <w:tcBorders>
              <w:top w:val="nil"/>
              <w:bottom w:val="nil"/>
            </w:tcBorders>
            <w:shd w:val="clear" w:color="auto" w:fill="0F243E" w:themeFill="text2" w:themeFillShade="80"/>
          </w:tcPr>
          <w:p w14:paraId="5AFB9E82" w14:textId="0BF81FBD" w:rsidR="00A03097" w:rsidRPr="0003007F" w:rsidRDefault="000D7CB9" w:rsidP="000D0537">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 xml:space="preserve">Latest 52 weeks </w:t>
            </w:r>
          </w:p>
        </w:tc>
      </w:tr>
      <w:tr w:rsidR="00A03097" w:rsidRPr="002A3B9B" w14:paraId="554A72F6" w14:textId="77777777" w:rsidTr="000D0537">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0F243E" w:themeFill="text2" w:themeFillShade="80"/>
          </w:tcPr>
          <w:p w14:paraId="5BB79DC6" w14:textId="77777777" w:rsidR="00A03097" w:rsidRPr="002A3B9B" w:rsidRDefault="00A03097" w:rsidP="000D0537">
            <w:pPr>
              <w:pStyle w:val="NoSpacing"/>
              <w:rPr>
                <w:rFonts w:ascii="Arial" w:hAnsi="Arial" w:cs="Arial"/>
                <w:color w:val="FFFFFF" w:themeColor="background1"/>
                <w:sz w:val="18"/>
                <w:szCs w:val="18"/>
              </w:rPr>
            </w:pPr>
            <w:r>
              <w:rPr>
                <w:rFonts w:ascii="Arial" w:hAnsi="Arial" w:cs="Arial"/>
                <w:color w:val="FFFFFF" w:themeColor="background1"/>
                <w:sz w:val="18"/>
                <w:szCs w:val="18"/>
              </w:rPr>
              <w:t>lunchmeat</w:t>
            </w:r>
          </w:p>
        </w:tc>
        <w:tc>
          <w:tcPr>
            <w:tcW w:w="900" w:type="dxa"/>
            <w:tcBorders>
              <w:top w:val="nil"/>
              <w:bottom w:val="nil"/>
            </w:tcBorders>
            <w:shd w:val="clear" w:color="auto" w:fill="0F243E" w:themeFill="text2" w:themeFillShade="80"/>
          </w:tcPr>
          <w:p w14:paraId="2E2C8A6D" w14:textId="77777777" w:rsidR="00A03097" w:rsidRPr="002A3B9B" w:rsidRDefault="00A03097" w:rsidP="000D053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sales</w:t>
            </w:r>
          </w:p>
        </w:tc>
        <w:tc>
          <w:tcPr>
            <w:tcW w:w="1165" w:type="dxa"/>
            <w:tcBorders>
              <w:top w:val="nil"/>
              <w:bottom w:val="nil"/>
            </w:tcBorders>
            <w:shd w:val="clear" w:color="auto" w:fill="0F243E" w:themeFill="text2" w:themeFillShade="80"/>
          </w:tcPr>
          <w:p w14:paraId="7DC74BBD" w14:textId="77777777" w:rsidR="00A03097" w:rsidRPr="002A3B9B" w:rsidRDefault="00A03097" w:rsidP="000D053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w:t>
            </w:r>
            <w:r>
              <w:rPr>
                <w:rFonts w:ascii="Arial" w:hAnsi="Arial" w:cs="Arial"/>
                <w:b/>
                <w:bCs/>
                <w:color w:val="FFFFFF" w:themeColor="background1"/>
                <w:sz w:val="18"/>
                <w:szCs w:val="18"/>
              </w:rPr>
              <w:t xml:space="preserve"> vs. YA</w:t>
            </w:r>
          </w:p>
        </w:tc>
        <w:tc>
          <w:tcPr>
            <w:tcW w:w="1328" w:type="dxa"/>
            <w:tcBorders>
              <w:top w:val="nil"/>
              <w:bottom w:val="nil"/>
              <w:right w:val="single" w:sz="4" w:space="0" w:color="auto"/>
            </w:tcBorders>
            <w:shd w:val="clear" w:color="auto" w:fill="0F243E" w:themeFill="text2" w:themeFillShade="80"/>
          </w:tcPr>
          <w:p w14:paraId="61B19130" w14:textId="77777777" w:rsidR="00A03097" w:rsidRPr="002A3B9B" w:rsidRDefault="00A03097" w:rsidP="000D0537">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Lbs </w:t>
            </w:r>
            <w:r w:rsidRPr="002A3B9B">
              <w:rPr>
                <w:rFonts w:ascii="Arial" w:hAnsi="Arial" w:cs="Arial"/>
                <w:b/>
                <w:bCs/>
                <w:color w:val="FFFFFF" w:themeColor="background1"/>
                <w:sz w:val="18"/>
                <w:szCs w:val="18"/>
              </w:rPr>
              <w:t>vs. YA</w:t>
            </w:r>
          </w:p>
        </w:tc>
        <w:tc>
          <w:tcPr>
            <w:tcW w:w="1737" w:type="dxa"/>
            <w:gridSpan w:val="2"/>
            <w:tcBorders>
              <w:top w:val="nil"/>
              <w:left w:val="single" w:sz="4" w:space="0" w:color="auto"/>
              <w:bottom w:val="nil"/>
            </w:tcBorders>
            <w:shd w:val="clear" w:color="auto" w:fill="0F243E" w:themeFill="text2" w:themeFillShade="80"/>
          </w:tcPr>
          <w:p w14:paraId="741BBE45" w14:textId="77777777" w:rsidR="00A03097" w:rsidRPr="002A3B9B" w:rsidRDefault="00A03097" w:rsidP="000D0537">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
        </w:tc>
        <w:tc>
          <w:tcPr>
            <w:tcW w:w="934" w:type="dxa"/>
            <w:tcBorders>
              <w:top w:val="nil"/>
              <w:bottom w:val="nil"/>
            </w:tcBorders>
            <w:shd w:val="clear" w:color="auto" w:fill="0F243E" w:themeFill="text2" w:themeFillShade="80"/>
          </w:tcPr>
          <w:p w14:paraId="675F431E" w14:textId="77777777" w:rsidR="00A03097" w:rsidRPr="002A3B9B" w:rsidRDefault="00A03097" w:rsidP="000D0537">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sales</w:t>
            </w:r>
          </w:p>
        </w:tc>
        <w:tc>
          <w:tcPr>
            <w:tcW w:w="1333" w:type="dxa"/>
            <w:tcBorders>
              <w:top w:val="nil"/>
              <w:bottom w:val="nil"/>
            </w:tcBorders>
            <w:shd w:val="clear" w:color="auto" w:fill="0F243E" w:themeFill="text2" w:themeFillShade="80"/>
          </w:tcPr>
          <w:p w14:paraId="4C9EBF06" w14:textId="77777777" w:rsidR="00A03097" w:rsidRPr="002A3B9B" w:rsidRDefault="00A03097" w:rsidP="000D0537">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w:t>
            </w:r>
            <w:r>
              <w:rPr>
                <w:rFonts w:ascii="Arial" w:hAnsi="Arial" w:cs="Arial"/>
                <w:b/>
                <w:bCs/>
                <w:color w:val="FFFFFF" w:themeColor="background1"/>
                <w:sz w:val="18"/>
                <w:szCs w:val="18"/>
              </w:rPr>
              <w:t xml:space="preserve"> vs. YA</w:t>
            </w:r>
          </w:p>
        </w:tc>
        <w:tc>
          <w:tcPr>
            <w:tcW w:w="1333" w:type="dxa"/>
            <w:tcBorders>
              <w:top w:val="nil"/>
              <w:bottom w:val="nil"/>
            </w:tcBorders>
            <w:shd w:val="clear" w:color="auto" w:fill="0F243E" w:themeFill="text2" w:themeFillShade="80"/>
          </w:tcPr>
          <w:p w14:paraId="01131CF4" w14:textId="77777777" w:rsidR="00A03097" w:rsidRPr="002A3B9B" w:rsidRDefault="00A03097" w:rsidP="000D0537">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Lbs </w:t>
            </w:r>
            <w:r w:rsidRPr="002A3B9B">
              <w:rPr>
                <w:rFonts w:ascii="Arial" w:hAnsi="Arial" w:cs="Arial"/>
                <w:b/>
                <w:bCs/>
                <w:color w:val="FFFFFF" w:themeColor="background1"/>
                <w:sz w:val="18"/>
                <w:szCs w:val="18"/>
              </w:rPr>
              <w:t>vs. YA</w:t>
            </w:r>
          </w:p>
        </w:tc>
      </w:tr>
      <w:tr w:rsidR="007E5368" w:rsidRPr="00FB41A2" w14:paraId="5B5F95A4" w14:textId="77777777" w:rsidTr="007E5368">
        <w:trPr>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tcPr>
          <w:p w14:paraId="24293BA9" w14:textId="67F5686A" w:rsidR="007E5368" w:rsidRPr="007E5368" w:rsidRDefault="007E5368" w:rsidP="007E5368">
            <w:pPr>
              <w:pStyle w:val="NoSpacing"/>
              <w:rPr>
                <w:rFonts w:ascii="Arial" w:hAnsi="Arial" w:cs="Arial"/>
                <w:b w:val="0"/>
                <w:color w:val="auto"/>
                <w:sz w:val="18"/>
                <w:szCs w:val="18"/>
              </w:rPr>
            </w:pPr>
            <w:r w:rsidRPr="007E5368">
              <w:rPr>
                <w:rFonts w:ascii="Arial" w:hAnsi="Arial" w:cs="Arial"/>
                <w:b w:val="0"/>
                <w:color w:val="auto"/>
                <w:sz w:val="18"/>
                <w:szCs w:val="18"/>
              </w:rPr>
              <w:t xml:space="preserve">Packaged lunchmeat </w:t>
            </w:r>
          </w:p>
        </w:tc>
        <w:tc>
          <w:tcPr>
            <w:tcW w:w="900" w:type="dxa"/>
            <w:tcBorders>
              <w:top w:val="nil"/>
              <w:bottom w:val="nil"/>
            </w:tcBorders>
            <w:vAlign w:val="center"/>
          </w:tcPr>
          <w:p w14:paraId="5CE27DBC" w14:textId="23415E72" w:rsidR="007E5368" w:rsidRPr="007E5368" w:rsidRDefault="007E5368" w:rsidP="007E536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7E5368">
              <w:rPr>
                <w:rFonts w:ascii="Arial" w:hAnsi="Arial" w:cs="Arial"/>
                <w:color w:val="auto"/>
                <w:sz w:val="18"/>
                <w:szCs w:val="18"/>
              </w:rPr>
              <w:t>$505M</w:t>
            </w:r>
          </w:p>
        </w:tc>
        <w:tc>
          <w:tcPr>
            <w:tcW w:w="1165" w:type="dxa"/>
            <w:tcBorders>
              <w:top w:val="nil"/>
              <w:bottom w:val="nil"/>
            </w:tcBorders>
            <w:vAlign w:val="center"/>
          </w:tcPr>
          <w:p w14:paraId="77FE901A" w14:textId="785479DA" w:rsidR="007E5368" w:rsidRPr="007E5368" w:rsidRDefault="007E5368" w:rsidP="007E536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7E5368">
              <w:rPr>
                <w:rFonts w:ascii="Arial" w:hAnsi="Arial" w:cs="Arial"/>
                <w:color w:val="auto"/>
                <w:sz w:val="18"/>
                <w:szCs w:val="18"/>
              </w:rPr>
              <w:t>-1.4%</w:t>
            </w:r>
          </w:p>
        </w:tc>
        <w:tc>
          <w:tcPr>
            <w:tcW w:w="1328" w:type="dxa"/>
            <w:tcBorders>
              <w:top w:val="nil"/>
              <w:bottom w:val="nil"/>
            </w:tcBorders>
            <w:vAlign w:val="center"/>
          </w:tcPr>
          <w:p w14:paraId="7BEB2A7B" w14:textId="60613EF0" w:rsidR="007E5368" w:rsidRPr="007E5368" w:rsidRDefault="007E5368" w:rsidP="007E536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7E5368">
              <w:rPr>
                <w:rFonts w:ascii="Arial" w:hAnsi="Arial" w:cs="Arial"/>
                <w:color w:val="auto"/>
                <w:sz w:val="18"/>
                <w:szCs w:val="18"/>
              </w:rPr>
              <w:t>-7.1%</w:t>
            </w:r>
          </w:p>
        </w:tc>
        <w:tc>
          <w:tcPr>
            <w:tcW w:w="1737" w:type="dxa"/>
            <w:gridSpan w:val="2"/>
            <w:tcBorders>
              <w:top w:val="nil"/>
              <w:bottom w:val="nil"/>
            </w:tcBorders>
          </w:tcPr>
          <w:p w14:paraId="07C9A666" w14:textId="50BB940F" w:rsidR="007E5368" w:rsidRPr="007E5368" w:rsidRDefault="007E5368" w:rsidP="007E5368">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 xml:space="preserve">Packaged </w:t>
            </w:r>
            <w:r w:rsidRPr="007E5368">
              <w:rPr>
                <w:rFonts w:ascii="Arial" w:hAnsi="Arial" w:cs="Arial"/>
                <w:color w:val="auto"/>
                <w:sz w:val="18"/>
                <w:szCs w:val="18"/>
              </w:rPr>
              <w:t xml:space="preserve">lunchmeat </w:t>
            </w:r>
          </w:p>
        </w:tc>
        <w:tc>
          <w:tcPr>
            <w:tcW w:w="934" w:type="dxa"/>
            <w:tcBorders>
              <w:top w:val="nil"/>
              <w:bottom w:val="nil"/>
            </w:tcBorders>
            <w:vAlign w:val="center"/>
          </w:tcPr>
          <w:p w14:paraId="5E015851" w14:textId="2F3ED5CC" w:rsidR="007E5368" w:rsidRPr="007E5368" w:rsidRDefault="007E5368" w:rsidP="007E536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7E5368">
              <w:rPr>
                <w:rFonts w:ascii="Arial" w:hAnsi="Arial" w:cs="Arial"/>
                <w:color w:val="auto"/>
                <w:sz w:val="18"/>
                <w:szCs w:val="18"/>
              </w:rPr>
              <w:t>$6.9B</w:t>
            </w:r>
          </w:p>
        </w:tc>
        <w:tc>
          <w:tcPr>
            <w:tcW w:w="1333" w:type="dxa"/>
            <w:tcBorders>
              <w:top w:val="nil"/>
              <w:bottom w:val="nil"/>
            </w:tcBorders>
            <w:vAlign w:val="center"/>
          </w:tcPr>
          <w:p w14:paraId="74A5FD47" w14:textId="52EAF263" w:rsidR="007E5368" w:rsidRPr="007E5368" w:rsidRDefault="007E5368" w:rsidP="007E536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7E5368">
              <w:rPr>
                <w:rFonts w:ascii="Arial" w:hAnsi="Arial" w:cs="Arial"/>
                <w:color w:val="auto"/>
                <w:sz w:val="18"/>
                <w:szCs w:val="18"/>
              </w:rPr>
              <w:t>-1.5%</w:t>
            </w:r>
          </w:p>
        </w:tc>
        <w:tc>
          <w:tcPr>
            <w:tcW w:w="1333" w:type="dxa"/>
            <w:tcBorders>
              <w:top w:val="nil"/>
              <w:bottom w:val="nil"/>
            </w:tcBorders>
            <w:vAlign w:val="center"/>
          </w:tcPr>
          <w:p w14:paraId="1EF2958A" w14:textId="2F758D11" w:rsidR="007E5368" w:rsidRPr="007E5368" w:rsidRDefault="007E5368" w:rsidP="007E536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7E5368">
              <w:rPr>
                <w:rFonts w:ascii="Arial" w:hAnsi="Arial" w:cs="Arial"/>
                <w:color w:val="auto"/>
                <w:sz w:val="18"/>
                <w:szCs w:val="18"/>
              </w:rPr>
              <w:t>-4.3%</w:t>
            </w:r>
          </w:p>
        </w:tc>
      </w:tr>
    </w:tbl>
    <w:p w14:paraId="7CFC8B7E" w14:textId="77777777" w:rsidR="00A03097" w:rsidRPr="009D6293" w:rsidRDefault="00A03097" w:rsidP="00A03097">
      <w:pPr>
        <w:pStyle w:val="NoSpacing"/>
        <w:rPr>
          <w:rFonts w:ascii="Arial" w:hAnsi="Arial" w:cs="Arial"/>
          <w:color w:val="7F7F7F" w:themeColor="text1" w:themeTint="80"/>
          <w:sz w:val="16"/>
          <w:szCs w:val="16"/>
        </w:rPr>
      </w:pPr>
      <w:r w:rsidRPr="00AA0E2A">
        <w:rPr>
          <w:rFonts w:ascii="Arial" w:hAnsi="Arial" w:cs="Arial"/>
          <w:color w:val="7F7F7F" w:themeColor="text1" w:themeTint="80"/>
          <w:sz w:val="16"/>
          <w:szCs w:val="16"/>
        </w:rPr>
        <w:t xml:space="preserve">Source: Circana, Total US, </w:t>
      </w:r>
      <w:r>
        <w:rPr>
          <w:rFonts w:ascii="Arial" w:hAnsi="Arial" w:cs="Arial"/>
          <w:color w:val="7F7F7F" w:themeColor="text1" w:themeTint="80"/>
          <w:sz w:val="16"/>
          <w:szCs w:val="16"/>
        </w:rPr>
        <w:t>MULO+</w:t>
      </w:r>
      <w:r w:rsidRPr="00AA0E2A">
        <w:rPr>
          <w:rFonts w:ascii="Arial" w:hAnsi="Arial" w:cs="Arial"/>
          <w:color w:val="7F7F7F" w:themeColor="text1" w:themeTint="80"/>
          <w:sz w:val="16"/>
          <w:szCs w:val="16"/>
        </w:rPr>
        <w:t>, Integrated</w:t>
      </w:r>
      <w:r>
        <w:rPr>
          <w:rFonts w:ascii="Arial" w:hAnsi="Arial" w:cs="Arial"/>
          <w:color w:val="7F7F7F" w:themeColor="text1" w:themeTint="80"/>
          <w:sz w:val="16"/>
          <w:szCs w:val="16"/>
        </w:rPr>
        <w:t xml:space="preserve"> Fresh % growth versus year ago</w:t>
      </w:r>
    </w:p>
    <w:p w14:paraId="67456B6F" w14:textId="77777777" w:rsidR="004E5A7A" w:rsidRDefault="004E5A7A" w:rsidP="00A03097">
      <w:pPr>
        <w:pStyle w:val="NoSpacing"/>
        <w:rPr>
          <w:rFonts w:ascii="Arial" w:hAnsi="Arial" w:cs="Arial"/>
          <w:b/>
          <w:color w:val="595959" w:themeColor="text1" w:themeTint="A6"/>
        </w:rPr>
      </w:pPr>
    </w:p>
    <w:p w14:paraId="0007680E" w14:textId="77777777" w:rsidR="004E5A7A" w:rsidRDefault="004E5A7A" w:rsidP="00A03097">
      <w:pPr>
        <w:pStyle w:val="NoSpacing"/>
        <w:rPr>
          <w:rFonts w:ascii="Arial" w:hAnsi="Arial" w:cs="Arial"/>
          <w:b/>
          <w:color w:val="595959" w:themeColor="text1" w:themeTint="A6"/>
        </w:rPr>
      </w:pPr>
    </w:p>
    <w:p w14:paraId="6BEE0DE1" w14:textId="6D375D69" w:rsidR="00C61F27" w:rsidRDefault="00D61B0F" w:rsidP="00A03097">
      <w:pPr>
        <w:pStyle w:val="NoSpacing"/>
        <w:rPr>
          <w:rFonts w:ascii="Arial" w:hAnsi="Arial" w:cs="Arial"/>
          <w:b/>
          <w:color w:val="595959" w:themeColor="text1" w:themeTint="A6"/>
        </w:rPr>
      </w:pPr>
      <w:r>
        <w:rPr>
          <w:rFonts w:ascii="Arial" w:hAnsi="Arial" w:cs="Arial"/>
          <w:b/>
          <w:color w:val="595959" w:themeColor="text1" w:themeTint="A6"/>
        </w:rPr>
        <w:t>Deli Cheese</w:t>
      </w:r>
    </w:p>
    <w:p w14:paraId="42ACC5E0" w14:textId="774F0DA7" w:rsidR="00DE78F9" w:rsidRPr="00BF0B40" w:rsidRDefault="005B52D4" w:rsidP="005B52D4">
      <w:pPr>
        <w:pStyle w:val="NoSpacing"/>
        <w:rPr>
          <w:rFonts w:ascii="Arial" w:hAnsi="Arial" w:cs="Arial"/>
          <w:sz w:val="20"/>
        </w:rPr>
      </w:pPr>
      <w:r w:rsidRPr="00BF0B40">
        <w:rPr>
          <w:rFonts w:ascii="Arial" w:hAnsi="Arial" w:cs="Arial"/>
          <w:sz w:val="20"/>
        </w:rPr>
        <w:t>Cheese continued to perform well</w:t>
      </w:r>
      <w:r w:rsidR="006B185A">
        <w:rPr>
          <w:rFonts w:ascii="Arial" w:hAnsi="Arial" w:cs="Arial"/>
          <w:sz w:val="20"/>
        </w:rPr>
        <w:t>, driven by ongoing strength in specialty cheeses during everyday and holiday weeks.</w:t>
      </w:r>
      <w:r w:rsidR="004E5A7A">
        <w:rPr>
          <w:rFonts w:ascii="Arial" w:hAnsi="Arial" w:cs="Arial"/>
          <w:sz w:val="20"/>
        </w:rPr>
        <w:t xml:space="preserve"> Specialty cheese underscores that it’s not all about price, and premium goods can continue to do well, especially among higher-income households. </w:t>
      </w:r>
    </w:p>
    <w:p w14:paraId="30F979DA" w14:textId="77777777" w:rsidR="005B52D4" w:rsidRPr="005B52D4" w:rsidRDefault="005B52D4" w:rsidP="005B52D4">
      <w:pPr>
        <w:pStyle w:val="NoSpacing"/>
        <w:rPr>
          <w:sz w:val="18"/>
          <w:szCs w:val="18"/>
        </w:rPr>
      </w:pPr>
    </w:p>
    <w:tbl>
      <w:tblPr>
        <w:tblStyle w:val="LightShading-Accent5"/>
        <w:tblW w:w="10440" w:type="dxa"/>
        <w:tblLayout w:type="fixed"/>
        <w:tblLook w:val="04A0" w:firstRow="1" w:lastRow="0" w:firstColumn="1" w:lastColumn="0" w:noHBand="0" w:noVBand="1"/>
      </w:tblPr>
      <w:tblGrid>
        <w:gridCol w:w="1710"/>
        <w:gridCol w:w="900"/>
        <w:gridCol w:w="90"/>
        <w:gridCol w:w="1075"/>
        <w:gridCol w:w="1333"/>
        <w:gridCol w:w="22"/>
        <w:gridCol w:w="1710"/>
        <w:gridCol w:w="934"/>
        <w:gridCol w:w="1333"/>
        <w:gridCol w:w="1333"/>
      </w:tblGrid>
      <w:tr w:rsidR="00C61F27" w:rsidRPr="0003007F" w14:paraId="7DFC22AF" w14:textId="77777777" w:rsidTr="00D61B0F">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0F243E" w:themeFill="text2" w:themeFillShade="80"/>
          </w:tcPr>
          <w:p w14:paraId="69F006F7" w14:textId="77777777" w:rsidR="00C61F27" w:rsidRPr="00AB1306" w:rsidRDefault="00C61F27" w:rsidP="00D61B0F">
            <w:pPr>
              <w:pStyle w:val="NoSpacing"/>
              <w:rPr>
                <w:rFonts w:ascii="Arial" w:hAnsi="Arial" w:cs="Arial"/>
                <w:color w:val="FFFFFF" w:themeColor="background1"/>
                <w:sz w:val="18"/>
                <w:szCs w:val="18"/>
              </w:rPr>
            </w:pPr>
          </w:p>
        </w:tc>
        <w:tc>
          <w:tcPr>
            <w:tcW w:w="3420" w:type="dxa"/>
            <w:gridSpan w:val="5"/>
            <w:tcBorders>
              <w:top w:val="nil"/>
              <w:bottom w:val="nil"/>
            </w:tcBorders>
            <w:shd w:val="clear" w:color="auto" w:fill="0F243E" w:themeFill="text2" w:themeFillShade="80"/>
          </w:tcPr>
          <w:p w14:paraId="38482233" w14:textId="1FEAF1E6" w:rsidR="00C61F27" w:rsidRPr="00AB1306" w:rsidRDefault="00193E59" w:rsidP="00D61B0F">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March</w:t>
            </w:r>
            <w:r w:rsidR="00205665">
              <w:rPr>
                <w:rFonts w:ascii="Arial" w:hAnsi="Arial" w:cs="Arial"/>
                <w:color w:val="FFFFFF" w:themeColor="background1"/>
                <w:sz w:val="18"/>
                <w:szCs w:val="18"/>
              </w:rPr>
              <w:t xml:space="preserve"> 2026</w:t>
            </w:r>
          </w:p>
        </w:tc>
        <w:tc>
          <w:tcPr>
            <w:tcW w:w="1710" w:type="dxa"/>
            <w:tcBorders>
              <w:top w:val="nil"/>
              <w:bottom w:val="nil"/>
            </w:tcBorders>
            <w:shd w:val="clear" w:color="auto" w:fill="0F243E" w:themeFill="text2" w:themeFillShade="80"/>
          </w:tcPr>
          <w:p w14:paraId="4254CAA8" w14:textId="77777777" w:rsidR="00C61F27" w:rsidRPr="00F515F4" w:rsidRDefault="00C61F27" w:rsidP="00D61B0F">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
        </w:tc>
        <w:tc>
          <w:tcPr>
            <w:tcW w:w="3600" w:type="dxa"/>
            <w:gridSpan w:val="3"/>
            <w:tcBorders>
              <w:top w:val="nil"/>
              <w:bottom w:val="nil"/>
            </w:tcBorders>
            <w:shd w:val="clear" w:color="auto" w:fill="0F243E" w:themeFill="text2" w:themeFillShade="80"/>
          </w:tcPr>
          <w:p w14:paraId="49EF577D" w14:textId="4DFF18D7" w:rsidR="00C61F27" w:rsidRPr="0003007F" w:rsidRDefault="000D7CB9" w:rsidP="00D61B0F">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C61F27" w:rsidRPr="002A3B9B" w14:paraId="624FFECC" w14:textId="77777777" w:rsidTr="00D61B0F">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0F243E" w:themeFill="text2" w:themeFillShade="80"/>
          </w:tcPr>
          <w:p w14:paraId="4CCB9054" w14:textId="77777777" w:rsidR="00C61F27" w:rsidRPr="002A3B9B" w:rsidRDefault="00C61F27" w:rsidP="00D61B0F">
            <w:pPr>
              <w:pStyle w:val="NoSpacing"/>
              <w:rPr>
                <w:rFonts w:ascii="Arial" w:hAnsi="Arial" w:cs="Arial"/>
                <w:color w:val="FFFFFF" w:themeColor="background1"/>
                <w:sz w:val="18"/>
                <w:szCs w:val="18"/>
              </w:rPr>
            </w:pPr>
            <w:r>
              <w:rPr>
                <w:rFonts w:ascii="Arial" w:hAnsi="Arial" w:cs="Arial"/>
                <w:color w:val="FFFFFF" w:themeColor="background1"/>
                <w:sz w:val="18"/>
                <w:szCs w:val="18"/>
              </w:rPr>
              <w:t>Deli cheese</w:t>
            </w:r>
          </w:p>
        </w:tc>
        <w:tc>
          <w:tcPr>
            <w:tcW w:w="900" w:type="dxa"/>
            <w:tcBorders>
              <w:top w:val="nil"/>
              <w:bottom w:val="nil"/>
            </w:tcBorders>
            <w:shd w:val="clear" w:color="auto" w:fill="0F243E" w:themeFill="text2" w:themeFillShade="80"/>
          </w:tcPr>
          <w:p w14:paraId="386CD0FD" w14:textId="77777777" w:rsidR="00C61F27" w:rsidRPr="002A3B9B" w:rsidRDefault="00C61F27" w:rsidP="00D61B0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sales</w:t>
            </w:r>
          </w:p>
        </w:tc>
        <w:tc>
          <w:tcPr>
            <w:tcW w:w="1165" w:type="dxa"/>
            <w:gridSpan w:val="2"/>
            <w:tcBorders>
              <w:top w:val="nil"/>
              <w:bottom w:val="nil"/>
            </w:tcBorders>
            <w:shd w:val="clear" w:color="auto" w:fill="0F243E" w:themeFill="text2" w:themeFillShade="80"/>
          </w:tcPr>
          <w:p w14:paraId="419A5805" w14:textId="77777777" w:rsidR="00C61F27" w:rsidRPr="002A3B9B" w:rsidRDefault="00C61F27" w:rsidP="00D61B0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w:t>
            </w:r>
            <w:r>
              <w:rPr>
                <w:rFonts w:ascii="Arial" w:hAnsi="Arial" w:cs="Arial"/>
                <w:b/>
                <w:bCs/>
                <w:color w:val="FFFFFF" w:themeColor="background1"/>
                <w:sz w:val="18"/>
                <w:szCs w:val="18"/>
              </w:rPr>
              <w:t xml:space="preserve"> vs. YA</w:t>
            </w:r>
          </w:p>
        </w:tc>
        <w:tc>
          <w:tcPr>
            <w:tcW w:w="1333" w:type="dxa"/>
            <w:tcBorders>
              <w:top w:val="nil"/>
              <w:bottom w:val="nil"/>
              <w:right w:val="single" w:sz="4" w:space="0" w:color="auto"/>
            </w:tcBorders>
            <w:shd w:val="clear" w:color="auto" w:fill="0F243E" w:themeFill="text2" w:themeFillShade="80"/>
          </w:tcPr>
          <w:p w14:paraId="592F970D" w14:textId="77777777" w:rsidR="00C61F27" w:rsidRPr="002A3B9B" w:rsidRDefault="00C61F27" w:rsidP="00D61B0F">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Lbs </w:t>
            </w:r>
            <w:r w:rsidRPr="002A3B9B">
              <w:rPr>
                <w:rFonts w:ascii="Arial" w:hAnsi="Arial" w:cs="Arial"/>
                <w:b/>
                <w:bCs/>
                <w:color w:val="FFFFFF" w:themeColor="background1"/>
                <w:sz w:val="18"/>
                <w:szCs w:val="18"/>
              </w:rPr>
              <w:t>vs. YA</w:t>
            </w:r>
          </w:p>
        </w:tc>
        <w:tc>
          <w:tcPr>
            <w:tcW w:w="1732" w:type="dxa"/>
            <w:gridSpan w:val="2"/>
            <w:tcBorders>
              <w:top w:val="nil"/>
              <w:left w:val="single" w:sz="4" w:space="0" w:color="auto"/>
              <w:bottom w:val="nil"/>
            </w:tcBorders>
            <w:shd w:val="clear" w:color="auto" w:fill="0F243E" w:themeFill="text2" w:themeFillShade="80"/>
          </w:tcPr>
          <w:p w14:paraId="11C2A265" w14:textId="77777777" w:rsidR="00C61F27" w:rsidRPr="002A3B9B" w:rsidRDefault="00C61F27" w:rsidP="00D61B0F">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
        </w:tc>
        <w:tc>
          <w:tcPr>
            <w:tcW w:w="934" w:type="dxa"/>
            <w:tcBorders>
              <w:top w:val="nil"/>
              <w:bottom w:val="nil"/>
            </w:tcBorders>
            <w:shd w:val="clear" w:color="auto" w:fill="0F243E" w:themeFill="text2" w:themeFillShade="80"/>
          </w:tcPr>
          <w:p w14:paraId="72DCB9E8" w14:textId="77777777" w:rsidR="00C61F27" w:rsidRPr="002A3B9B" w:rsidRDefault="00C61F27" w:rsidP="00D61B0F">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sales</w:t>
            </w:r>
          </w:p>
        </w:tc>
        <w:tc>
          <w:tcPr>
            <w:tcW w:w="1333" w:type="dxa"/>
            <w:tcBorders>
              <w:top w:val="nil"/>
              <w:bottom w:val="nil"/>
            </w:tcBorders>
            <w:shd w:val="clear" w:color="auto" w:fill="0F243E" w:themeFill="text2" w:themeFillShade="80"/>
          </w:tcPr>
          <w:p w14:paraId="18D4E27C" w14:textId="77777777" w:rsidR="00C61F27" w:rsidRPr="002A3B9B" w:rsidRDefault="00C61F27" w:rsidP="00D61B0F">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w:t>
            </w:r>
            <w:r>
              <w:rPr>
                <w:rFonts w:ascii="Arial" w:hAnsi="Arial" w:cs="Arial"/>
                <w:b/>
                <w:bCs/>
                <w:color w:val="FFFFFF" w:themeColor="background1"/>
                <w:sz w:val="18"/>
                <w:szCs w:val="18"/>
              </w:rPr>
              <w:t xml:space="preserve"> vs. YA</w:t>
            </w:r>
          </w:p>
        </w:tc>
        <w:tc>
          <w:tcPr>
            <w:tcW w:w="1333" w:type="dxa"/>
            <w:tcBorders>
              <w:top w:val="nil"/>
              <w:bottom w:val="nil"/>
            </w:tcBorders>
            <w:shd w:val="clear" w:color="auto" w:fill="0F243E" w:themeFill="text2" w:themeFillShade="80"/>
          </w:tcPr>
          <w:p w14:paraId="3A01636C" w14:textId="77777777" w:rsidR="00C61F27" w:rsidRPr="002A3B9B" w:rsidRDefault="00C61F27" w:rsidP="00D61B0F">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Lbs </w:t>
            </w:r>
            <w:r w:rsidRPr="002A3B9B">
              <w:rPr>
                <w:rFonts w:ascii="Arial" w:hAnsi="Arial" w:cs="Arial"/>
                <w:b/>
                <w:bCs/>
                <w:color w:val="FFFFFF" w:themeColor="background1"/>
                <w:sz w:val="18"/>
                <w:szCs w:val="18"/>
              </w:rPr>
              <w:t>vs. YA</w:t>
            </w:r>
          </w:p>
        </w:tc>
      </w:tr>
      <w:tr w:rsidR="00205665" w:rsidRPr="00C15B15" w14:paraId="284010D0" w14:textId="77777777" w:rsidTr="00D61B0F">
        <w:trPr>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vAlign w:val="center"/>
          </w:tcPr>
          <w:p w14:paraId="31EECCC6" w14:textId="77777777" w:rsidR="00205665" w:rsidRPr="002515C9" w:rsidRDefault="00205665" w:rsidP="00205665">
            <w:pPr>
              <w:pStyle w:val="NoSpacing"/>
              <w:rPr>
                <w:rFonts w:ascii="Arial" w:hAnsi="Arial" w:cs="Arial"/>
                <w:color w:val="000000" w:themeColor="text1"/>
                <w:sz w:val="18"/>
                <w:szCs w:val="18"/>
              </w:rPr>
            </w:pPr>
            <w:r w:rsidRPr="002515C9">
              <w:rPr>
                <w:rFonts w:ascii="Arial" w:hAnsi="Arial" w:cs="Arial"/>
                <w:color w:val="000000" w:themeColor="text1"/>
                <w:sz w:val="18"/>
                <w:szCs w:val="18"/>
              </w:rPr>
              <w:t>Total deli cheese</w:t>
            </w:r>
          </w:p>
        </w:tc>
        <w:tc>
          <w:tcPr>
            <w:tcW w:w="990" w:type="dxa"/>
            <w:gridSpan w:val="2"/>
            <w:tcBorders>
              <w:top w:val="nil"/>
              <w:bottom w:val="nil"/>
            </w:tcBorders>
          </w:tcPr>
          <w:p w14:paraId="31329AA7" w14:textId="564D7003" w:rsidR="00205665" w:rsidRPr="00205665" w:rsidRDefault="00205665" w:rsidP="0020566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8"/>
                <w:szCs w:val="18"/>
              </w:rPr>
            </w:pPr>
            <w:r w:rsidRPr="00205665">
              <w:rPr>
                <w:rFonts w:ascii="Arial" w:hAnsi="Arial" w:cs="Arial"/>
                <w:b/>
                <w:color w:val="auto"/>
                <w:sz w:val="18"/>
                <w:szCs w:val="18"/>
              </w:rPr>
              <w:t>$</w:t>
            </w:r>
            <w:r w:rsidR="00B31360">
              <w:rPr>
                <w:rFonts w:ascii="Arial" w:hAnsi="Arial" w:cs="Arial"/>
                <w:b/>
                <w:color w:val="auto"/>
                <w:sz w:val="18"/>
                <w:szCs w:val="18"/>
              </w:rPr>
              <w:t>663</w:t>
            </w:r>
            <w:r w:rsidRPr="00205665">
              <w:rPr>
                <w:rFonts w:ascii="Arial" w:hAnsi="Arial" w:cs="Arial"/>
                <w:b/>
                <w:color w:val="auto"/>
                <w:sz w:val="18"/>
                <w:szCs w:val="18"/>
              </w:rPr>
              <w:t>M</w:t>
            </w:r>
          </w:p>
        </w:tc>
        <w:tc>
          <w:tcPr>
            <w:tcW w:w="1075" w:type="dxa"/>
            <w:tcBorders>
              <w:top w:val="nil"/>
              <w:bottom w:val="nil"/>
            </w:tcBorders>
          </w:tcPr>
          <w:p w14:paraId="7D63C085" w14:textId="0B8BF268" w:rsidR="00205665" w:rsidRPr="00C15B15" w:rsidRDefault="00205665" w:rsidP="0020566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C15B15">
              <w:rPr>
                <w:rFonts w:ascii="Arial" w:hAnsi="Arial" w:cs="Arial"/>
                <w:b/>
                <w:color w:val="000000"/>
                <w:sz w:val="18"/>
                <w:szCs w:val="18"/>
              </w:rPr>
              <w:t>+</w:t>
            </w:r>
            <w:r w:rsidR="00B31360">
              <w:rPr>
                <w:rFonts w:ascii="Arial" w:hAnsi="Arial" w:cs="Arial"/>
                <w:b/>
                <w:color w:val="000000"/>
                <w:sz w:val="18"/>
                <w:szCs w:val="18"/>
              </w:rPr>
              <w:t>1.7</w:t>
            </w:r>
            <w:r w:rsidRPr="00C15B15">
              <w:rPr>
                <w:rFonts w:ascii="Arial" w:hAnsi="Arial" w:cs="Arial"/>
                <w:b/>
                <w:color w:val="000000"/>
                <w:sz w:val="18"/>
                <w:szCs w:val="18"/>
              </w:rPr>
              <w:t>%</w:t>
            </w:r>
          </w:p>
        </w:tc>
        <w:tc>
          <w:tcPr>
            <w:tcW w:w="1333" w:type="dxa"/>
            <w:tcBorders>
              <w:top w:val="nil"/>
              <w:bottom w:val="nil"/>
              <w:right w:val="single" w:sz="4" w:space="0" w:color="auto"/>
            </w:tcBorders>
          </w:tcPr>
          <w:p w14:paraId="76DDB5EF" w14:textId="7CE63328" w:rsidR="00205665" w:rsidRPr="00C15B15" w:rsidRDefault="00205665" w:rsidP="0020566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C15B15">
              <w:rPr>
                <w:rFonts w:ascii="Arial" w:hAnsi="Arial" w:cs="Arial"/>
                <w:b/>
                <w:color w:val="000000"/>
                <w:sz w:val="18"/>
                <w:szCs w:val="18"/>
              </w:rPr>
              <w:t>+</w:t>
            </w:r>
            <w:r w:rsidR="00B31360">
              <w:rPr>
                <w:rFonts w:ascii="Arial" w:hAnsi="Arial" w:cs="Arial"/>
                <w:b/>
                <w:color w:val="000000"/>
                <w:sz w:val="18"/>
                <w:szCs w:val="18"/>
              </w:rPr>
              <w:t>1.1</w:t>
            </w:r>
            <w:r w:rsidRPr="00C15B15">
              <w:rPr>
                <w:rFonts w:ascii="Arial" w:hAnsi="Arial" w:cs="Arial"/>
                <w:b/>
                <w:color w:val="000000"/>
                <w:sz w:val="18"/>
                <w:szCs w:val="18"/>
              </w:rPr>
              <w:t>%</w:t>
            </w:r>
          </w:p>
        </w:tc>
        <w:tc>
          <w:tcPr>
            <w:tcW w:w="1732" w:type="dxa"/>
            <w:gridSpan w:val="2"/>
            <w:tcBorders>
              <w:top w:val="nil"/>
              <w:left w:val="single" w:sz="4" w:space="0" w:color="auto"/>
              <w:bottom w:val="nil"/>
            </w:tcBorders>
            <w:vAlign w:val="center"/>
          </w:tcPr>
          <w:p w14:paraId="32998956" w14:textId="77777777" w:rsidR="00205665" w:rsidRPr="002515C9" w:rsidRDefault="00205665" w:rsidP="00205665">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2515C9">
              <w:rPr>
                <w:rFonts w:ascii="Arial" w:hAnsi="Arial" w:cs="Arial"/>
                <w:b/>
                <w:bCs/>
                <w:color w:val="000000" w:themeColor="text1"/>
                <w:sz w:val="18"/>
                <w:szCs w:val="18"/>
              </w:rPr>
              <w:t>Deli cheese</w:t>
            </w:r>
          </w:p>
        </w:tc>
        <w:tc>
          <w:tcPr>
            <w:tcW w:w="934" w:type="dxa"/>
            <w:tcBorders>
              <w:top w:val="nil"/>
              <w:bottom w:val="nil"/>
            </w:tcBorders>
            <w:vAlign w:val="center"/>
          </w:tcPr>
          <w:p w14:paraId="4736774B" w14:textId="0E061A92" w:rsidR="00205665" w:rsidRPr="00C15B15" w:rsidRDefault="00205665" w:rsidP="0020566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C15B15">
              <w:rPr>
                <w:rFonts w:ascii="Arial" w:hAnsi="Arial" w:cs="Arial"/>
                <w:b/>
                <w:color w:val="000000" w:themeColor="text1"/>
                <w:sz w:val="18"/>
                <w:szCs w:val="18"/>
              </w:rPr>
              <w:t>$</w:t>
            </w:r>
            <w:r w:rsidR="00B31360">
              <w:rPr>
                <w:rFonts w:ascii="Arial" w:hAnsi="Arial" w:cs="Arial"/>
                <w:b/>
                <w:color w:val="000000" w:themeColor="text1"/>
                <w:sz w:val="18"/>
                <w:szCs w:val="18"/>
              </w:rPr>
              <w:t>9.1</w:t>
            </w:r>
            <w:r w:rsidRPr="00C15B15">
              <w:rPr>
                <w:rFonts w:ascii="Arial" w:hAnsi="Arial" w:cs="Arial"/>
                <w:b/>
                <w:color w:val="000000" w:themeColor="text1"/>
                <w:sz w:val="18"/>
                <w:szCs w:val="18"/>
              </w:rPr>
              <w:t>B</w:t>
            </w:r>
          </w:p>
        </w:tc>
        <w:tc>
          <w:tcPr>
            <w:tcW w:w="1333" w:type="dxa"/>
            <w:tcBorders>
              <w:top w:val="nil"/>
              <w:bottom w:val="nil"/>
            </w:tcBorders>
            <w:vAlign w:val="center"/>
          </w:tcPr>
          <w:p w14:paraId="0F8B43ED" w14:textId="69501516" w:rsidR="00205665" w:rsidRPr="00C15B15" w:rsidRDefault="00205665" w:rsidP="0020566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C15B15">
              <w:rPr>
                <w:rFonts w:ascii="Arial" w:hAnsi="Arial" w:cs="Arial"/>
                <w:b/>
                <w:color w:val="000000" w:themeColor="text1"/>
                <w:sz w:val="18"/>
                <w:szCs w:val="18"/>
              </w:rPr>
              <w:t>+</w:t>
            </w:r>
            <w:r w:rsidR="00B31360">
              <w:rPr>
                <w:rFonts w:ascii="Arial" w:hAnsi="Arial" w:cs="Arial"/>
                <w:b/>
                <w:color w:val="000000" w:themeColor="text1"/>
                <w:sz w:val="18"/>
                <w:szCs w:val="18"/>
              </w:rPr>
              <w:t>4.0</w:t>
            </w:r>
            <w:r w:rsidRPr="00C15B15">
              <w:rPr>
                <w:rFonts w:ascii="Arial" w:hAnsi="Arial" w:cs="Arial"/>
                <w:b/>
                <w:color w:val="000000" w:themeColor="text1"/>
                <w:sz w:val="18"/>
                <w:szCs w:val="18"/>
              </w:rPr>
              <w:t>%</w:t>
            </w:r>
          </w:p>
        </w:tc>
        <w:tc>
          <w:tcPr>
            <w:tcW w:w="1333" w:type="dxa"/>
            <w:tcBorders>
              <w:top w:val="nil"/>
              <w:bottom w:val="nil"/>
            </w:tcBorders>
            <w:vAlign w:val="center"/>
          </w:tcPr>
          <w:p w14:paraId="6CB9A01B" w14:textId="73E011D8" w:rsidR="00205665" w:rsidRPr="00C15B15" w:rsidRDefault="00205665" w:rsidP="0020566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C15B15">
              <w:rPr>
                <w:rFonts w:ascii="Arial" w:hAnsi="Arial" w:cs="Arial"/>
                <w:b/>
                <w:color w:val="000000" w:themeColor="text1"/>
                <w:sz w:val="18"/>
                <w:szCs w:val="18"/>
              </w:rPr>
              <w:t>+</w:t>
            </w:r>
            <w:r w:rsidR="00B31360">
              <w:rPr>
                <w:rFonts w:ascii="Arial" w:hAnsi="Arial" w:cs="Arial"/>
                <w:b/>
                <w:color w:val="000000" w:themeColor="text1"/>
                <w:sz w:val="18"/>
                <w:szCs w:val="18"/>
              </w:rPr>
              <w:t>3.3</w:t>
            </w:r>
            <w:r w:rsidRPr="00C15B15">
              <w:rPr>
                <w:rFonts w:ascii="Arial" w:hAnsi="Arial" w:cs="Arial"/>
                <w:b/>
                <w:color w:val="000000" w:themeColor="text1"/>
                <w:sz w:val="18"/>
                <w:szCs w:val="18"/>
              </w:rPr>
              <w:t>%</w:t>
            </w:r>
          </w:p>
        </w:tc>
      </w:tr>
      <w:tr w:rsidR="00205665" w:rsidRPr="000372DF" w14:paraId="2371D584" w14:textId="77777777" w:rsidTr="005B52D4">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D9D9D9" w:themeFill="background1" w:themeFillShade="D9"/>
            <w:vAlign w:val="center"/>
          </w:tcPr>
          <w:p w14:paraId="57D31B23" w14:textId="77777777" w:rsidR="00205665" w:rsidRPr="000372DF" w:rsidRDefault="00205665" w:rsidP="00205665">
            <w:pPr>
              <w:pStyle w:val="NoSpacing"/>
              <w:rPr>
                <w:rFonts w:ascii="Arial" w:hAnsi="Arial" w:cs="Arial"/>
                <w:b w:val="0"/>
                <w:bCs w:val="0"/>
                <w:color w:val="000000" w:themeColor="text1"/>
                <w:sz w:val="18"/>
                <w:szCs w:val="18"/>
              </w:rPr>
            </w:pPr>
            <w:r w:rsidRPr="000372DF">
              <w:rPr>
                <w:rFonts w:ascii="Arial" w:hAnsi="Arial" w:cs="Arial"/>
                <w:b w:val="0"/>
                <w:bCs w:val="0"/>
                <w:color w:val="000000" w:themeColor="text1"/>
                <w:sz w:val="18"/>
                <w:szCs w:val="18"/>
              </w:rPr>
              <w:t>Specialty</w:t>
            </w:r>
          </w:p>
        </w:tc>
        <w:tc>
          <w:tcPr>
            <w:tcW w:w="990" w:type="dxa"/>
            <w:gridSpan w:val="2"/>
            <w:tcBorders>
              <w:top w:val="nil"/>
              <w:bottom w:val="nil"/>
            </w:tcBorders>
            <w:shd w:val="clear" w:color="auto" w:fill="D9D9D9" w:themeFill="background1" w:themeFillShade="D9"/>
          </w:tcPr>
          <w:p w14:paraId="58C4E634" w14:textId="6994D64D" w:rsidR="00205665" w:rsidRPr="000D0537" w:rsidRDefault="00205665" w:rsidP="0020566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DF74B9">
              <w:rPr>
                <w:rFonts w:ascii="Arial" w:hAnsi="Arial" w:cs="Arial"/>
                <w:color w:val="auto"/>
                <w:sz w:val="18"/>
                <w:szCs w:val="18"/>
              </w:rPr>
              <w:t>$</w:t>
            </w:r>
            <w:r w:rsidR="00B31360">
              <w:rPr>
                <w:rFonts w:ascii="Arial" w:hAnsi="Arial" w:cs="Arial"/>
                <w:color w:val="auto"/>
                <w:sz w:val="18"/>
                <w:szCs w:val="18"/>
              </w:rPr>
              <w:t>474</w:t>
            </w:r>
            <w:r w:rsidRPr="00DF74B9">
              <w:rPr>
                <w:rFonts w:ascii="Arial" w:hAnsi="Arial" w:cs="Arial"/>
                <w:color w:val="auto"/>
                <w:sz w:val="18"/>
                <w:szCs w:val="18"/>
              </w:rPr>
              <w:t>M</w:t>
            </w:r>
          </w:p>
        </w:tc>
        <w:tc>
          <w:tcPr>
            <w:tcW w:w="1075" w:type="dxa"/>
            <w:tcBorders>
              <w:top w:val="nil"/>
              <w:bottom w:val="nil"/>
            </w:tcBorders>
            <w:shd w:val="clear" w:color="auto" w:fill="D9D9D9" w:themeFill="background1" w:themeFillShade="D9"/>
          </w:tcPr>
          <w:p w14:paraId="14C04697" w14:textId="6C057EAB" w:rsidR="00205665" w:rsidRPr="003A064B" w:rsidRDefault="00205665" w:rsidP="0020566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745A03">
              <w:rPr>
                <w:rFonts w:ascii="Arial" w:hAnsi="Arial" w:cs="Arial"/>
                <w:color w:val="000000"/>
                <w:sz w:val="18"/>
                <w:szCs w:val="18"/>
              </w:rPr>
              <w:t>+</w:t>
            </w:r>
            <w:r w:rsidR="00B31360">
              <w:rPr>
                <w:rFonts w:ascii="Arial" w:hAnsi="Arial" w:cs="Arial"/>
                <w:color w:val="000000"/>
                <w:sz w:val="18"/>
                <w:szCs w:val="18"/>
              </w:rPr>
              <w:t>4.1</w:t>
            </w:r>
            <w:r w:rsidRPr="00745A03">
              <w:rPr>
                <w:rFonts w:ascii="Arial" w:hAnsi="Arial" w:cs="Arial"/>
                <w:color w:val="000000"/>
                <w:sz w:val="18"/>
                <w:szCs w:val="18"/>
              </w:rPr>
              <w:t>%</w:t>
            </w:r>
          </w:p>
        </w:tc>
        <w:tc>
          <w:tcPr>
            <w:tcW w:w="1333" w:type="dxa"/>
            <w:tcBorders>
              <w:top w:val="nil"/>
              <w:bottom w:val="nil"/>
              <w:right w:val="single" w:sz="4" w:space="0" w:color="auto"/>
            </w:tcBorders>
            <w:shd w:val="clear" w:color="auto" w:fill="D9D9D9" w:themeFill="background1" w:themeFillShade="D9"/>
          </w:tcPr>
          <w:p w14:paraId="2F60BF56" w14:textId="065A4455" w:rsidR="00205665" w:rsidRPr="003A064B" w:rsidRDefault="00205665" w:rsidP="0020566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745A03">
              <w:rPr>
                <w:rFonts w:ascii="Arial" w:hAnsi="Arial" w:cs="Arial"/>
                <w:color w:val="000000"/>
                <w:sz w:val="18"/>
                <w:szCs w:val="18"/>
              </w:rPr>
              <w:t>+</w:t>
            </w:r>
            <w:r w:rsidR="00B31360">
              <w:rPr>
                <w:rFonts w:ascii="Arial" w:hAnsi="Arial" w:cs="Arial"/>
                <w:color w:val="000000"/>
                <w:sz w:val="18"/>
                <w:szCs w:val="18"/>
              </w:rPr>
              <w:t>3.5</w:t>
            </w:r>
            <w:r w:rsidRPr="00745A03">
              <w:rPr>
                <w:rFonts w:ascii="Arial" w:hAnsi="Arial" w:cs="Arial"/>
                <w:color w:val="000000"/>
                <w:sz w:val="18"/>
                <w:szCs w:val="18"/>
              </w:rPr>
              <w:t>%</w:t>
            </w:r>
          </w:p>
        </w:tc>
        <w:tc>
          <w:tcPr>
            <w:tcW w:w="1732" w:type="dxa"/>
            <w:gridSpan w:val="2"/>
            <w:tcBorders>
              <w:top w:val="nil"/>
              <w:left w:val="single" w:sz="4" w:space="0" w:color="auto"/>
              <w:bottom w:val="nil"/>
            </w:tcBorders>
            <w:shd w:val="clear" w:color="auto" w:fill="D9D9D9" w:themeFill="background1" w:themeFillShade="D9"/>
            <w:vAlign w:val="center"/>
          </w:tcPr>
          <w:p w14:paraId="2D990DBA" w14:textId="77777777" w:rsidR="00205665" w:rsidRPr="000372DF" w:rsidRDefault="00205665" w:rsidP="0020566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0372DF">
              <w:rPr>
                <w:rFonts w:ascii="Arial" w:hAnsi="Arial" w:cs="Arial"/>
                <w:color w:val="000000" w:themeColor="text1"/>
                <w:sz w:val="18"/>
                <w:szCs w:val="18"/>
              </w:rPr>
              <w:t>Specialty</w:t>
            </w:r>
          </w:p>
        </w:tc>
        <w:tc>
          <w:tcPr>
            <w:tcW w:w="934" w:type="dxa"/>
            <w:tcBorders>
              <w:top w:val="nil"/>
              <w:bottom w:val="nil"/>
            </w:tcBorders>
            <w:shd w:val="clear" w:color="auto" w:fill="D9D9D9" w:themeFill="background1" w:themeFillShade="D9"/>
            <w:vAlign w:val="center"/>
          </w:tcPr>
          <w:p w14:paraId="63B056FC" w14:textId="0C01907F" w:rsidR="00205665" w:rsidRPr="000372DF" w:rsidRDefault="00205665" w:rsidP="00205665">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B31360">
              <w:rPr>
                <w:rFonts w:ascii="Arial" w:hAnsi="Arial" w:cs="Arial"/>
                <w:color w:val="000000" w:themeColor="text1"/>
                <w:sz w:val="18"/>
                <w:szCs w:val="18"/>
              </w:rPr>
              <w:t>6.5</w:t>
            </w:r>
            <w:r>
              <w:rPr>
                <w:rFonts w:ascii="Arial" w:hAnsi="Arial" w:cs="Arial"/>
                <w:color w:val="000000" w:themeColor="text1"/>
                <w:sz w:val="18"/>
                <w:szCs w:val="18"/>
              </w:rPr>
              <w:t>B</w:t>
            </w:r>
          </w:p>
        </w:tc>
        <w:tc>
          <w:tcPr>
            <w:tcW w:w="1333" w:type="dxa"/>
            <w:tcBorders>
              <w:top w:val="nil"/>
              <w:bottom w:val="nil"/>
            </w:tcBorders>
            <w:shd w:val="clear" w:color="auto" w:fill="D9D9D9" w:themeFill="background1" w:themeFillShade="D9"/>
          </w:tcPr>
          <w:p w14:paraId="7F05E725" w14:textId="06C8C133" w:rsidR="00205665" w:rsidRPr="000372DF" w:rsidRDefault="00205665" w:rsidP="00205665">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2F2147">
              <w:rPr>
                <w:rFonts w:ascii="Arial" w:hAnsi="Arial" w:cs="Arial"/>
                <w:color w:val="000000"/>
                <w:sz w:val="18"/>
                <w:szCs w:val="18"/>
              </w:rPr>
              <w:t>+</w:t>
            </w:r>
            <w:r w:rsidR="00B31360">
              <w:rPr>
                <w:rFonts w:ascii="Arial" w:hAnsi="Arial" w:cs="Arial"/>
                <w:color w:val="000000"/>
                <w:sz w:val="18"/>
                <w:szCs w:val="18"/>
              </w:rPr>
              <w:t>5.9</w:t>
            </w:r>
            <w:r w:rsidRPr="002F2147">
              <w:rPr>
                <w:rFonts w:ascii="Arial" w:hAnsi="Arial" w:cs="Arial"/>
                <w:color w:val="000000"/>
                <w:sz w:val="18"/>
                <w:szCs w:val="18"/>
              </w:rPr>
              <w:t>%</w:t>
            </w:r>
          </w:p>
        </w:tc>
        <w:tc>
          <w:tcPr>
            <w:tcW w:w="1333" w:type="dxa"/>
            <w:tcBorders>
              <w:top w:val="nil"/>
              <w:bottom w:val="nil"/>
            </w:tcBorders>
            <w:shd w:val="clear" w:color="auto" w:fill="D9D9D9" w:themeFill="background1" w:themeFillShade="D9"/>
          </w:tcPr>
          <w:p w14:paraId="20818256" w14:textId="005CE7DC" w:rsidR="00205665" w:rsidRPr="000372DF" w:rsidRDefault="00205665" w:rsidP="00205665">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2F2147">
              <w:rPr>
                <w:rFonts w:ascii="Arial" w:hAnsi="Arial" w:cs="Arial"/>
                <w:color w:val="000000"/>
                <w:sz w:val="18"/>
                <w:szCs w:val="18"/>
              </w:rPr>
              <w:t>+</w:t>
            </w:r>
            <w:r w:rsidR="00B31360">
              <w:rPr>
                <w:rFonts w:ascii="Arial" w:hAnsi="Arial" w:cs="Arial"/>
                <w:color w:val="000000"/>
                <w:sz w:val="18"/>
                <w:szCs w:val="18"/>
              </w:rPr>
              <w:t>5.3</w:t>
            </w:r>
            <w:r w:rsidRPr="002F2147">
              <w:rPr>
                <w:rFonts w:ascii="Arial" w:hAnsi="Arial" w:cs="Arial"/>
                <w:color w:val="000000"/>
                <w:sz w:val="18"/>
                <w:szCs w:val="18"/>
              </w:rPr>
              <w:t>%</w:t>
            </w:r>
          </w:p>
        </w:tc>
      </w:tr>
    </w:tbl>
    <w:p w14:paraId="481B5802" w14:textId="77777777" w:rsidR="004325FA" w:rsidRDefault="004325FA" w:rsidP="00A03097">
      <w:pPr>
        <w:spacing w:after="0"/>
        <w:rPr>
          <w:rFonts w:ascii="Arial" w:hAnsi="Arial" w:cs="Arial"/>
          <w:b/>
          <w:color w:val="595959" w:themeColor="text1" w:themeTint="A6"/>
          <w:szCs w:val="28"/>
        </w:rPr>
      </w:pPr>
    </w:p>
    <w:p w14:paraId="5798D6DF" w14:textId="77777777" w:rsidR="004325FA" w:rsidRDefault="004325FA" w:rsidP="00A03097">
      <w:pPr>
        <w:spacing w:after="0"/>
        <w:rPr>
          <w:rFonts w:ascii="Arial" w:hAnsi="Arial" w:cs="Arial"/>
          <w:b/>
          <w:color w:val="595959" w:themeColor="text1" w:themeTint="A6"/>
          <w:szCs w:val="28"/>
        </w:rPr>
      </w:pPr>
    </w:p>
    <w:p w14:paraId="33C1A8EF" w14:textId="1B568F14" w:rsidR="00A03097" w:rsidRPr="00AE4240" w:rsidRDefault="00A03097" w:rsidP="00A03097">
      <w:pPr>
        <w:spacing w:after="0"/>
        <w:rPr>
          <w:rFonts w:ascii="Arial" w:hAnsi="Arial" w:cs="Arial"/>
          <w:b/>
          <w:color w:val="595959" w:themeColor="text1" w:themeTint="A6"/>
          <w:szCs w:val="28"/>
        </w:rPr>
      </w:pPr>
      <w:r w:rsidRPr="00AE4240">
        <w:rPr>
          <w:rFonts w:ascii="Arial" w:hAnsi="Arial" w:cs="Arial"/>
          <w:b/>
          <w:color w:val="595959" w:themeColor="text1" w:themeTint="A6"/>
          <w:szCs w:val="28"/>
        </w:rPr>
        <w:t>Deli Entertaining</w:t>
      </w:r>
    </w:p>
    <w:p w14:paraId="277AA2DB" w14:textId="30568A66" w:rsidR="00A03097" w:rsidRDefault="00D466B5" w:rsidP="00A03097">
      <w:pPr>
        <w:pStyle w:val="NoSpacing"/>
        <w:rPr>
          <w:rFonts w:ascii="Arial" w:hAnsi="Arial" w:cs="Arial"/>
          <w:sz w:val="20"/>
          <w:szCs w:val="20"/>
        </w:rPr>
      </w:pPr>
      <w:r>
        <w:rPr>
          <w:rFonts w:ascii="Arial" w:hAnsi="Arial" w:cs="Arial"/>
          <w:sz w:val="20"/>
          <w:szCs w:val="20"/>
        </w:rPr>
        <w:t xml:space="preserve">Much like January and February, deli entertaining had mixed results. Dollar sales were virtually unchanged from March 2025 levels, while pounds and units fell below year-ago levels. Pickles and relish were the only area with continued growth in March, with spreads falling 3.8% year-on-year. </w:t>
      </w:r>
    </w:p>
    <w:p w14:paraId="26C670B8" w14:textId="05E76A61" w:rsidR="00D466B5" w:rsidRDefault="00D466B5">
      <w:pPr>
        <w:rPr>
          <w:rFonts w:ascii="Arial" w:hAnsi="Arial" w:cs="Arial"/>
          <w:sz w:val="20"/>
          <w:szCs w:val="20"/>
        </w:rPr>
      </w:pPr>
      <w:r>
        <w:rPr>
          <w:rFonts w:ascii="Arial" w:hAnsi="Arial" w:cs="Arial"/>
          <w:sz w:val="20"/>
          <w:szCs w:val="20"/>
        </w:rPr>
        <w:br w:type="page"/>
      </w:r>
    </w:p>
    <w:p w14:paraId="19E8BA5F" w14:textId="77777777" w:rsidR="00A03097" w:rsidRDefault="00A03097" w:rsidP="00A03097">
      <w:pPr>
        <w:pStyle w:val="NoSpacing"/>
        <w:rPr>
          <w:rFonts w:ascii="Arial" w:hAnsi="Arial" w:cs="Arial"/>
          <w:sz w:val="20"/>
          <w:szCs w:val="20"/>
        </w:rPr>
      </w:pPr>
    </w:p>
    <w:tbl>
      <w:tblPr>
        <w:tblStyle w:val="LightShading-Accent5"/>
        <w:tblW w:w="10440" w:type="dxa"/>
        <w:tblLayout w:type="fixed"/>
        <w:tblLook w:val="04A0" w:firstRow="1" w:lastRow="0" w:firstColumn="1" w:lastColumn="0" w:noHBand="0" w:noVBand="1"/>
      </w:tblPr>
      <w:tblGrid>
        <w:gridCol w:w="1710"/>
        <w:gridCol w:w="900"/>
        <w:gridCol w:w="90"/>
        <w:gridCol w:w="1075"/>
        <w:gridCol w:w="1333"/>
        <w:gridCol w:w="22"/>
        <w:gridCol w:w="1710"/>
        <w:gridCol w:w="934"/>
        <w:gridCol w:w="1333"/>
        <w:gridCol w:w="1333"/>
      </w:tblGrid>
      <w:tr w:rsidR="00A03097" w:rsidRPr="0003007F" w14:paraId="10303A43" w14:textId="77777777" w:rsidTr="00A74DC1">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0F243E" w:themeFill="text2" w:themeFillShade="80"/>
          </w:tcPr>
          <w:p w14:paraId="25DF0F6C" w14:textId="77777777" w:rsidR="00A03097" w:rsidRPr="00AB1306" w:rsidRDefault="00A03097" w:rsidP="000D0537">
            <w:pPr>
              <w:pStyle w:val="NoSpacing"/>
              <w:rPr>
                <w:rFonts w:ascii="Arial" w:hAnsi="Arial" w:cs="Arial"/>
                <w:color w:val="FFFFFF" w:themeColor="background1"/>
                <w:sz w:val="18"/>
                <w:szCs w:val="18"/>
              </w:rPr>
            </w:pPr>
          </w:p>
        </w:tc>
        <w:tc>
          <w:tcPr>
            <w:tcW w:w="3420" w:type="dxa"/>
            <w:gridSpan w:val="5"/>
            <w:tcBorders>
              <w:top w:val="nil"/>
              <w:bottom w:val="nil"/>
            </w:tcBorders>
            <w:shd w:val="clear" w:color="auto" w:fill="0F243E" w:themeFill="text2" w:themeFillShade="80"/>
          </w:tcPr>
          <w:p w14:paraId="795F6E22" w14:textId="03BF079D" w:rsidR="00A03097" w:rsidRPr="00AB1306" w:rsidRDefault="00193E59" w:rsidP="00A74DC1">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March</w:t>
            </w:r>
            <w:r w:rsidR="00205665">
              <w:rPr>
                <w:rFonts w:ascii="Arial" w:hAnsi="Arial" w:cs="Arial"/>
                <w:color w:val="FFFFFF" w:themeColor="background1"/>
                <w:sz w:val="18"/>
                <w:szCs w:val="18"/>
              </w:rPr>
              <w:t xml:space="preserve"> 2026</w:t>
            </w:r>
          </w:p>
        </w:tc>
        <w:tc>
          <w:tcPr>
            <w:tcW w:w="1710" w:type="dxa"/>
            <w:tcBorders>
              <w:top w:val="nil"/>
              <w:bottom w:val="nil"/>
            </w:tcBorders>
            <w:shd w:val="clear" w:color="auto" w:fill="0F243E" w:themeFill="text2" w:themeFillShade="80"/>
          </w:tcPr>
          <w:p w14:paraId="5D110EA1" w14:textId="77777777" w:rsidR="00A03097" w:rsidRPr="00F515F4" w:rsidRDefault="00A03097" w:rsidP="000D0537">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
        </w:tc>
        <w:tc>
          <w:tcPr>
            <w:tcW w:w="3600" w:type="dxa"/>
            <w:gridSpan w:val="3"/>
            <w:tcBorders>
              <w:top w:val="nil"/>
              <w:bottom w:val="nil"/>
            </w:tcBorders>
            <w:shd w:val="clear" w:color="auto" w:fill="0F243E" w:themeFill="text2" w:themeFillShade="80"/>
          </w:tcPr>
          <w:p w14:paraId="726B0F20" w14:textId="03D4F820" w:rsidR="00A03097" w:rsidRPr="0003007F" w:rsidRDefault="000D7CB9" w:rsidP="000D0537">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A03097" w:rsidRPr="002A3B9B" w14:paraId="6670F4CA" w14:textId="77777777" w:rsidTr="000D0537">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0F243E" w:themeFill="text2" w:themeFillShade="80"/>
          </w:tcPr>
          <w:p w14:paraId="2537C4BA" w14:textId="77777777" w:rsidR="00A03097" w:rsidRPr="002A3B9B" w:rsidRDefault="00A03097" w:rsidP="000D0537">
            <w:pPr>
              <w:pStyle w:val="NoSpacing"/>
              <w:rPr>
                <w:rFonts w:ascii="Arial" w:hAnsi="Arial" w:cs="Arial"/>
                <w:color w:val="FFFFFF" w:themeColor="background1"/>
                <w:sz w:val="18"/>
                <w:szCs w:val="18"/>
              </w:rPr>
            </w:pPr>
            <w:r>
              <w:rPr>
                <w:rFonts w:ascii="Arial" w:hAnsi="Arial" w:cs="Arial"/>
                <w:color w:val="FFFFFF" w:themeColor="background1"/>
                <w:sz w:val="18"/>
                <w:szCs w:val="18"/>
              </w:rPr>
              <w:t>Deli entertaining</w:t>
            </w:r>
          </w:p>
        </w:tc>
        <w:tc>
          <w:tcPr>
            <w:tcW w:w="900" w:type="dxa"/>
            <w:tcBorders>
              <w:top w:val="nil"/>
              <w:bottom w:val="nil"/>
            </w:tcBorders>
            <w:shd w:val="clear" w:color="auto" w:fill="0F243E" w:themeFill="text2" w:themeFillShade="80"/>
          </w:tcPr>
          <w:p w14:paraId="6782E9BC" w14:textId="77777777" w:rsidR="00A03097" w:rsidRPr="002A3B9B" w:rsidRDefault="00A03097" w:rsidP="000D053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sales</w:t>
            </w:r>
          </w:p>
        </w:tc>
        <w:tc>
          <w:tcPr>
            <w:tcW w:w="1165" w:type="dxa"/>
            <w:gridSpan w:val="2"/>
            <w:tcBorders>
              <w:top w:val="nil"/>
              <w:bottom w:val="nil"/>
            </w:tcBorders>
            <w:shd w:val="clear" w:color="auto" w:fill="0F243E" w:themeFill="text2" w:themeFillShade="80"/>
          </w:tcPr>
          <w:p w14:paraId="244DCD28" w14:textId="77777777" w:rsidR="00A03097" w:rsidRPr="002A3B9B" w:rsidRDefault="00A03097" w:rsidP="000D053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w:t>
            </w:r>
            <w:r>
              <w:rPr>
                <w:rFonts w:ascii="Arial" w:hAnsi="Arial" w:cs="Arial"/>
                <w:b/>
                <w:bCs/>
                <w:color w:val="FFFFFF" w:themeColor="background1"/>
                <w:sz w:val="18"/>
                <w:szCs w:val="18"/>
              </w:rPr>
              <w:t xml:space="preserve"> vs. YA</w:t>
            </w:r>
          </w:p>
        </w:tc>
        <w:tc>
          <w:tcPr>
            <w:tcW w:w="1333" w:type="dxa"/>
            <w:tcBorders>
              <w:top w:val="nil"/>
              <w:bottom w:val="nil"/>
              <w:right w:val="single" w:sz="4" w:space="0" w:color="auto"/>
            </w:tcBorders>
            <w:shd w:val="clear" w:color="auto" w:fill="0F243E" w:themeFill="text2" w:themeFillShade="80"/>
          </w:tcPr>
          <w:p w14:paraId="57C434AC" w14:textId="77777777" w:rsidR="00A03097" w:rsidRPr="002A3B9B" w:rsidRDefault="00A03097" w:rsidP="000D0537">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Lbs </w:t>
            </w:r>
            <w:r w:rsidRPr="002A3B9B">
              <w:rPr>
                <w:rFonts w:ascii="Arial" w:hAnsi="Arial" w:cs="Arial"/>
                <w:b/>
                <w:bCs/>
                <w:color w:val="FFFFFF" w:themeColor="background1"/>
                <w:sz w:val="18"/>
                <w:szCs w:val="18"/>
              </w:rPr>
              <w:t>vs. YA</w:t>
            </w:r>
          </w:p>
        </w:tc>
        <w:tc>
          <w:tcPr>
            <w:tcW w:w="1732" w:type="dxa"/>
            <w:gridSpan w:val="2"/>
            <w:tcBorders>
              <w:top w:val="nil"/>
              <w:left w:val="single" w:sz="4" w:space="0" w:color="auto"/>
              <w:bottom w:val="nil"/>
            </w:tcBorders>
            <w:shd w:val="clear" w:color="auto" w:fill="0F243E" w:themeFill="text2" w:themeFillShade="80"/>
          </w:tcPr>
          <w:p w14:paraId="1D258CB8" w14:textId="77777777" w:rsidR="00A03097" w:rsidRPr="002A3B9B" w:rsidRDefault="00A03097" w:rsidP="000D0537">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
        </w:tc>
        <w:tc>
          <w:tcPr>
            <w:tcW w:w="934" w:type="dxa"/>
            <w:tcBorders>
              <w:top w:val="nil"/>
              <w:bottom w:val="nil"/>
            </w:tcBorders>
            <w:shd w:val="clear" w:color="auto" w:fill="0F243E" w:themeFill="text2" w:themeFillShade="80"/>
          </w:tcPr>
          <w:p w14:paraId="44942757" w14:textId="77777777" w:rsidR="00A03097" w:rsidRPr="002A3B9B" w:rsidRDefault="00A03097" w:rsidP="000D0537">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sales</w:t>
            </w:r>
          </w:p>
        </w:tc>
        <w:tc>
          <w:tcPr>
            <w:tcW w:w="1333" w:type="dxa"/>
            <w:tcBorders>
              <w:top w:val="nil"/>
              <w:bottom w:val="nil"/>
            </w:tcBorders>
            <w:shd w:val="clear" w:color="auto" w:fill="0F243E" w:themeFill="text2" w:themeFillShade="80"/>
          </w:tcPr>
          <w:p w14:paraId="02B60CCD" w14:textId="77777777" w:rsidR="00A03097" w:rsidRPr="002A3B9B" w:rsidRDefault="00A03097" w:rsidP="000D0537">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w:t>
            </w:r>
            <w:r>
              <w:rPr>
                <w:rFonts w:ascii="Arial" w:hAnsi="Arial" w:cs="Arial"/>
                <w:b/>
                <w:bCs/>
                <w:color w:val="FFFFFF" w:themeColor="background1"/>
                <w:sz w:val="18"/>
                <w:szCs w:val="18"/>
              </w:rPr>
              <w:t xml:space="preserve"> vs. YA</w:t>
            </w:r>
          </w:p>
        </w:tc>
        <w:tc>
          <w:tcPr>
            <w:tcW w:w="1333" w:type="dxa"/>
            <w:tcBorders>
              <w:top w:val="nil"/>
              <w:bottom w:val="nil"/>
            </w:tcBorders>
            <w:shd w:val="clear" w:color="auto" w:fill="0F243E" w:themeFill="text2" w:themeFillShade="80"/>
          </w:tcPr>
          <w:p w14:paraId="1D15BFEF" w14:textId="77777777" w:rsidR="00A03097" w:rsidRPr="002A3B9B" w:rsidRDefault="00A03097" w:rsidP="000D0537">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Lbs </w:t>
            </w:r>
            <w:r w:rsidRPr="002A3B9B">
              <w:rPr>
                <w:rFonts w:ascii="Arial" w:hAnsi="Arial" w:cs="Arial"/>
                <w:b/>
                <w:bCs/>
                <w:color w:val="FFFFFF" w:themeColor="background1"/>
                <w:sz w:val="18"/>
                <w:szCs w:val="18"/>
              </w:rPr>
              <w:t>vs. YA</w:t>
            </w:r>
          </w:p>
        </w:tc>
      </w:tr>
      <w:tr w:rsidR="001F7659" w:rsidRPr="00956854" w14:paraId="399756EE" w14:textId="77777777" w:rsidTr="00464CBE">
        <w:trPr>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right w:val="nil"/>
            </w:tcBorders>
            <w:vAlign w:val="center"/>
          </w:tcPr>
          <w:p w14:paraId="166BC65F" w14:textId="77777777" w:rsidR="001F7659" w:rsidRPr="00956854" w:rsidRDefault="001F7659" w:rsidP="001F7659">
            <w:pPr>
              <w:pStyle w:val="NoSpacing"/>
              <w:rPr>
                <w:rFonts w:ascii="Arial" w:hAnsi="Arial" w:cs="Arial"/>
                <w:color w:val="000000" w:themeColor="text1"/>
                <w:sz w:val="18"/>
                <w:szCs w:val="18"/>
              </w:rPr>
            </w:pPr>
            <w:r w:rsidRPr="00956854">
              <w:rPr>
                <w:rFonts w:ascii="Arial" w:hAnsi="Arial" w:cs="Arial"/>
                <w:color w:val="000000" w:themeColor="text1"/>
                <w:sz w:val="18"/>
                <w:szCs w:val="18"/>
              </w:rPr>
              <w:t>Deli entertaining</w:t>
            </w:r>
          </w:p>
        </w:tc>
        <w:tc>
          <w:tcPr>
            <w:tcW w:w="990" w:type="dxa"/>
            <w:gridSpan w:val="2"/>
            <w:tcBorders>
              <w:top w:val="nil"/>
              <w:left w:val="nil"/>
              <w:bottom w:val="nil"/>
              <w:right w:val="nil"/>
            </w:tcBorders>
            <w:vAlign w:val="center"/>
          </w:tcPr>
          <w:p w14:paraId="3FA5EDF3" w14:textId="4414D5D3" w:rsidR="001F7659" w:rsidRPr="00C15B15" w:rsidRDefault="001F7659" w:rsidP="001F7659">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C15B15">
              <w:rPr>
                <w:rFonts w:ascii="Arial" w:hAnsi="Arial" w:cs="Arial"/>
                <w:b/>
                <w:color w:val="auto"/>
                <w:sz w:val="18"/>
                <w:szCs w:val="18"/>
              </w:rPr>
              <w:t>$</w:t>
            </w:r>
            <w:r w:rsidR="00452152">
              <w:rPr>
                <w:rFonts w:ascii="Arial" w:hAnsi="Arial" w:cs="Arial"/>
                <w:b/>
                <w:color w:val="auto"/>
                <w:sz w:val="18"/>
                <w:szCs w:val="18"/>
              </w:rPr>
              <w:t>471</w:t>
            </w:r>
            <w:r w:rsidRPr="00C15B15">
              <w:rPr>
                <w:rFonts w:ascii="Arial" w:hAnsi="Arial" w:cs="Arial"/>
                <w:b/>
                <w:color w:val="auto"/>
                <w:sz w:val="18"/>
                <w:szCs w:val="18"/>
              </w:rPr>
              <w:t>M</w:t>
            </w:r>
          </w:p>
        </w:tc>
        <w:tc>
          <w:tcPr>
            <w:tcW w:w="1075" w:type="dxa"/>
            <w:tcBorders>
              <w:top w:val="nil"/>
              <w:left w:val="nil"/>
              <w:bottom w:val="nil"/>
              <w:right w:val="nil"/>
            </w:tcBorders>
          </w:tcPr>
          <w:p w14:paraId="5BA64909" w14:textId="07F610AF" w:rsidR="001F7659" w:rsidRPr="001F7659" w:rsidRDefault="00452152" w:rsidP="001F7659">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color w:val="000000"/>
                <w:sz w:val="18"/>
                <w:szCs w:val="18"/>
              </w:rPr>
              <w:t>+0.1</w:t>
            </w:r>
            <w:r w:rsidR="001F7659" w:rsidRPr="001F7659">
              <w:rPr>
                <w:rFonts w:ascii="Arial" w:hAnsi="Arial" w:cs="Arial"/>
                <w:b/>
                <w:color w:val="000000"/>
                <w:sz w:val="18"/>
                <w:szCs w:val="18"/>
              </w:rPr>
              <w:t>%</w:t>
            </w:r>
          </w:p>
        </w:tc>
        <w:tc>
          <w:tcPr>
            <w:tcW w:w="1333" w:type="dxa"/>
            <w:tcBorders>
              <w:top w:val="nil"/>
              <w:left w:val="nil"/>
              <w:bottom w:val="nil"/>
              <w:right w:val="single" w:sz="4" w:space="0" w:color="auto"/>
            </w:tcBorders>
            <w:vAlign w:val="center"/>
          </w:tcPr>
          <w:p w14:paraId="154CBC3C" w14:textId="45D5383C" w:rsidR="001F7659" w:rsidRPr="00C15B15" w:rsidRDefault="009662A7" w:rsidP="001F7659">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color w:val="000000"/>
                <w:sz w:val="18"/>
                <w:szCs w:val="18"/>
              </w:rPr>
              <w:t>-</w:t>
            </w:r>
            <w:r w:rsidR="00452152">
              <w:rPr>
                <w:rFonts w:ascii="Arial" w:hAnsi="Arial" w:cs="Arial"/>
                <w:b/>
                <w:color w:val="000000"/>
                <w:sz w:val="18"/>
                <w:szCs w:val="18"/>
              </w:rPr>
              <w:t>1.6</w:t>
            </w:r>
            <w:r w:rsidR="001F7659" w:rsidRPr="00C15B15">
              <w:rPr>
                <w:rFonts w:ascii="Arial" w:hAnsi="Arial" w:cs="Arial"/>
                <w:b/>
                <w:color w:val="000000"/>
                <w:sz w:val="18"/>
                <w:szCs w:val="18"/>
              </w:rPr>
              <w:t>%</w:t>
            </w:r>
          </w:p>
        </w:tc>
        <w:tc>
          <w:tcPr>
            <w:tcW w:w="1732" w:type="dxa"/>
            <w:gridSpan w:val="2"/>
            <w:tcBorders>
              <w:top w:val="nil"/>
              <w:left w:val="single" w:sz="4" w:space="0" w:color="auto"/>
              <w:bottom w:val="nil"/>
              <w:right w:val="nil"/>
            </w:tcBorders>
            <w:vAlign w:val="center"/>
          </w:tcPr>
          <w:p w14:paraId="3BDDF4BB" w14:textId="77777777" w:rsidR="001F7659" w:rsidRPr="00B72AC8" w:rsidRDefault="001F7659" w:rsidP="001F7659">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B72AC8">
              <w:rPr>
                <w:rFonts w:ascii="Arial" w:hAnsi="Arial" w:cs="Arial"/>
                <w:b/>
                <w:bCs/>
                <w:color w:val="000000" w:themeColor="text1"/>
                <w:sz w:val="18"/>
                <w:szCs w:val="18"/>
              </w:rPr>
              <w:t>Deli entertaining</w:t>
            </w:r>
          </w:p>
        </w:tc>
        <w:tc>
          <w:tcPr>
            <w:tcW w:w="934" w:type="dxa"/>
            <w:tcBorders>
              <w:top w:val="nil"/>
              <w:left w:val="nil"/>
              <w:bottom w:val="nil"/>
              <w:right w:val="nil"/>
            </w:tcBorders>
            <w:vAlign w:val="center"/>
          </w:tcPr>
          <w:p w14:paraId="4D0286D8" w14:textId="2029439E" w:rsidR="001F7659" w:rsidRPr="00C15B15" w:rsidRDefault="001F7659" w:rsidP="001F7659">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C15B15">
              <w:rPr>
                <w:rFonts w:ascii="Arial" w:hAnsi="Arial" w:cs="Arial"/>
                <w:b/>
                <w:color w:val="000000" w:themeColor="text1"/>
                <w:sz w:val="18"/>
                <w:szCs w:val="18"/>
              </w:rPr>
              <w:t>$</w:t>
            </w:r>
            <w:r w:rsidR="00452152">
              <w:rPr>
                <w:rFonts w:ascii="Arial" w:hAnsi="Arial" w:cs="Arial"/>
                <w:b/>
                <w:color w:val="000000" w:themeColor="text1"/>
                <w:sz w:val="18"/>
                <w:szCs w:val="18"/>
              </w:rPr>
              <w:t>6.5</w:t>
            </w:r>
            <w:r w:rsidRPr="00C15B15">
              <w:rPr>
                <w:rFonts w:ascii="Arial" w:hAnsi="Arial" w:cs="Arial"/>
                <w:b/>
                <w:color w:val="000000" w:themeColor="text1"/>
                <w:sz w:val="18"/>
                <w:szCs w:val="18"/>
              </w:rPr>
              <w:t>B</w:t>
            </w:r>
          </w:p>
        </w:tc>
        <w:tc>
          <w:tcPr>
            <w:tcW w:w="1333" w:type="dxa"/>
            <w:tcBorders>
              <w:top w:val="nil"/>
              <w:left w:val="nil"/>
              <w:bottom w:val="nil"/>
              <w:right w:val="nil"/>
            </w:tcBorders>
            <w:vAlign w:val="center"/>
          </w:tcPr>
          <w:p w14:paraId="74FBEF4C" w14:textId="47032B7F" w:rsidR="001F7659" w:rsidRPr="00C15B15" w:rsidRDefault="001F7659" w:rsidP="001F7659">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C15B15">
              <w:rPr>
                <w:rFonts w:ascii="Arial" w:hAnsi="Arial" w:cs="Arial"/>
                <w:b/>
                <w:color w:val="000000" w:themeColor="text1"/>
                <w:sz w:val="18"/>
                <w:szCs w:val="18"/>
              </w:rPr>
              <w:t>+</w:t>
            </w:r>
            <w:r w:rsidR="00452152">
              <w:rPr>
                <w:rFonts w:ascii="Arial" w:hAnsi="Arial" w:cs="Arial"/>
                <w:b/>
                <w:color w:val="000000" w:themeColor="text1"/>
                <w:sz w:val="18"/>
                <w:szCs w:val="18"/>
              </w:rPr>
              <w:t>1.5</w:t>
            </w:r>
            <w:r w:rsidRPr="00C15B15">
              <w:rPr>
                <w:rFonts w:ascii="Arial" w:hAnsi="Arial" w:cs="Arial"/>
                <w:b/>
                <w:color w:val="000000" w:themeColor="text1"/>
                <w:sz w:val="18"/>
                <w:szCs w:val="18"/>
              </w:rPr>
              <w:t>%</w:t>
            </w:r>
          </w:p>
        </w:tc>
        <w:tc>
          <w:tcPr>
            <w:tcW w:w="1333" w:type="dxa"/>
            <w:tcBorders>
              <w:top w:val="nil"/>
              <w:left w:val="nil"/>
              <w:bottom w:val="nil"/>
            </w:tcBorders>
            <w:vAlign w:val="center"/>
          </w:tcPr>
          <w:p w14:paraId="001826DB" w14:textId="6B1FB4A1" w:rsidR="001F7659" w:rsidRPr="00C15B15" w:rsidRDefault="00662B2C" w:rsidP="001F7659">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color w:val="000000" w:themeColor="text1"/>
                <w:sz w:val="18"/>
                <w:szCs w:val="18"/>
              </w:rPr>
              <w:t>-</w:t>
            </w:r>
            <w:r w:rsidR="00452152">
              <w:rPr>
                <w:rFonts w:ascii="Arial" w:hAnsi="Arial" w:cs="Arial"/>
                <w:b/>
                <w:color w:val="000000" w:themeColor="text1"/>
                <w:sz w:val="18"/>
                <w:szCs w:val="18"/>
              </w:rPr>
              <w:t>0.9</w:t>
            </w:r>
            <w:r w:rsidR="001F7659" w:rsidRPr="00C15B15">
              <w:rPr>
                <w:rFonts w:ascii="Arial" w:hAnsi="Arial" w:cs="Arial"/>
                <w:b/>
                <w:color w:val="000000" w:themeColor="text1"/>
                <w:sz w:val="18"/>
                <w:szCs w:val="18"/>
              </w:rPr>
              <w:t>%</w:t>
            </w:r>
          </w:p>
        </w:tc>
      </w:tr>
      <w:tr w:rsidR="009662A7" w:rsidRPr="00956854" w14:paraId="2051711A" w14:textId="77777777" w:rsidTr="007E5368">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D9D9D9" w:themeFill="background1" w:themeFillShade="D9"/>
            <w:vAlign w:val="center"/>
          </w:tcPr>
          <w:p w14:paraId="7DEECB37" w14:textId="77777777" w:rsidR="009662A7" w:rsidRPr="000961A2" w:rsidRDefault="009662A7" w:rsidP="009662A7">
            <w:pPr>
              <w:pStyle w:val="NoSpacing"/>
              <w:rPr>
                <w:rFonts w:ascii="Arial" w:hAnsi="Arial" w:cs="Arial"/>
                <w:b w:val="0"/>
                <w:bCs w:val="0"/>
                <w:color w:val="000000" w:themeColor="text1"/>
                <w:sz w:val="18"/>
                <w:szCs w:val="18"/>
              </w:rPr>
            </w:pPr>
            <w:r w:rsidRPr="000961A2">
              <w:rPr>
                <w:rFonts w:ascii="Arial" w:hAnsi="Arial" w:cs="Arial"/>
                <w:b w:val="0"/>
                <w:bCs w:val="0"/>
                <w:color w:val="000000" w:themeColor="text1"/>
                <w:sz w:val="18"/>
                <w:szCs w:val="18"/>
              </w:rPr>
              <w:t>Dips and sauces</w:t>
            </w:r>
          </w:p>
        </w:tc>
        <w:tc>
          <w:tcPr>
            <w:tcW w:w="990" w:type="dxa"/>
            <w:gridSpan w:val="2"/>
            <w:tcBorders>
              <w:top w:val="nil"/>
              <w:bottom w:val="nil"/>
            </w:tcBorders>
            <w:shd w:val="clear" w:color="auto" w:fill="D9D9D9" w:themeFill="background1" w:themeFillShade="D9"/>
          </w:tcPr>
          <w:p w14:paraId="4CF6F3E4" w14:textId="55B65B41" w:rsidR="009662A7" w:rsidRPr="000D0537" w:rsidRDefault="009662A7" w:rsidP="009662A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3E6667">
              <w:rPr>
                <w:rFonts w:ascii="Arial" w:hAnsi="Arial" w:cs="Arial"/>
                <w:color w:val="auto"/>
                <w:sz w:val="18"/>
                <w:szCs w:val="18"/>
              </w:rPr>
              <w:t>$</w:t>
            </w:r>
            <w:r w:rsidR="00452152">
              <w:rPr>
                <w:rFonts w:ascii="Arial" w:hAnsi="Arial" w:cs="Arial"/>
                <w:color w:val="auto"/>
                <w:sz w:val="18"/>
                <w:szCs w:val="18"/>
              </w:rPr>
              <w:t>240</w:t>
            </w:r>
            <w:r w:rsidRPr="003E6667">
              <w:rPr>
                <w:rFonts w:ascii="Arial" w:hAnsi="Arial" w:cs="Arial"/>
                <w:color w:val="auto"/>
                <w:sz w:val="18"/>
                <w:szCs w:val="18"/>
              </w:rPr>
              <w:t>M</w:t>
            </w:r>
          </w:p>
        </w:tc>
        <w:tc>
          <w:tcPr>
            <w:tcW w:w="1075" w:type="dxa"/>
            <w:tcBorders>
              <w:top w:val="nil"/>
              <w:bottom w:val="nil"/>
            </w:tcBorders>
            <w:shd w:val="clear" w:color="auto" w:fill="D9D9D9" w:themeFill="background1" w:themeFillShade="D9"/>
          </w:tcPr>
          <w:p w14:paraId="38F755DC" w14:textId="60E050E6" w:rsidR="009662A7" w:rsidRPr="000961A2" w:rsidRDefault="009662A7" w:rsidP="009662A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w:t>
            </w:r>
            <w:r w:rsidR="00452152">
              <w:rPr>
                <w:rFonts w:ascii="Arial" w:hAnsi="Arial" w:cs="Arial"/>
                <w:color w:val="000000"/>
                <w:sz w:val="18"/>
                <w:szCs w:val="18"/>
              </w:rPr>
              <w:t>1.3</w:t>
            </w:r>
            <w:r w:rsidRPr="007626D2">
              <w:rPr>
                <w:rFonts w:ascii="Arial" w:hAnsi="Arial" w:cs="Arial"/>
                <w:color w:val="000000"/>
                <w:sz w:val="18"/>
                <w:szCs w:val="18"/>
              </w:rPr>
              <w:t>%</w:t>
            </w:r>
          </w:p>
        </w:tc>
        <w:tc>
          <w:tcPr>
            <w:tcW w:w="1333" w:type="dxa"/>
            <w:tcBorders>
              <w:top w:val="nil"/>
              <w:bottom w:val="nil"/>
              <w:right w:val="single" w:sz="4" w:space="0" w:color="auto"/>
            </w:tcBorders>
            <w:shd w:val="clear" w:color="auto" w:fill="D9D9D9" w:themeFill="background1" w:themeFillShade="D9"/>
          </w:tcPr>
          <w:p w14:paraId="03A59F35" w14:textId="493B0636" w:rsidR="009662A7" w:rsidRPr="000961A2" w:rsidRDefault="009662A7" w:rsidP="009662A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w:t>
            </w:r>
            <w:r w:rsidR="00452152">
              <w:rPr>
                <w:rFonts w:ascii="Arial" w:hAnsi="Arial" w:cs="Arial"/>
                <w:color w:val="000000"/>
                <w:sz w:val="18"/>
                <w:szCs w:val="18"/>
              </w:rPr>
              <w:t>1.9</w:t>
            </w:r>
            <w:r w:rsidRPr="00325E5E">
              <w:rPr>
                <w:rFonts w:ascii="Arial" w:hAnsi="Arial" w:cs="Arial"/>
                <w:color w:val="000000"/>
                <w:sz w:val="18"/>
                <w:szCs w:val="18"/>
              </w:rPr>
              <w:t>%</w:t>
            </w:r>
          </w:p>
        </w:tc>
        <w:tc>
          <w:tcPr>
            <w:tcW w:w="1732" w:type="dxa"/>
            <w:gridSpan w:val="2"/>
            <w:tcBorders>
              <w:top w:val="nil"/>
              <w:left w:val="single" w:sz="4" w:space="0" w:color="auto"/>
              <w:bottom w:val="nil"/>
            </w:tcBorders>
            <w:shd w:val="clear" w:color="auto" w:fill="D9D9D9" w:themeFill="background1" w:themeFillShade="D9"/>
            <w:vAlign w:val="center"/>
          </w:tcPr>
          <w:p w14:paraId="03D97645" w14:textId="77777777" w:rsidR="009662A7" w:rsidRPr="000961A2" w:rsidRDefault="009662A7" w:rsidP="009662A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0961A2">
              <w:rPr>
                <w:rFonts w:ascii="Arial" w:hAnsi="Arial" w:cs="Arial"/>
                <w:color w:val="000000" w:themeColor="text1"/>
                <w:sz w:val="18"/>
                <w:szCs w:val="18"/>
              </w:rPr>
              <w:t>Dips and sauces</w:t>
            </w:r>
          </w:p>
        </w:tc>
        <w:tc>
          <w:tcPr>
            <w:tcW w:w="934" w:type="dxa"/>
            <w:tcBorders>
              <w:top w:val="nil"/>
              <w:bottom w:val="nil"/>
            </w:tcBorders>
            <w:shd w:val="clear" w:color="auto" w:fill="D9D9D9" w:themeFill="background1" w:themeFillShade="D9"/>
          </w:tcPr>
          <w:p w14:paraId="489AE984" w14:textId="2A51975D" w:rsidR="009662A7" w:rsidRPr="009662A7" w:rsidRDefault="009662A7" w:rsidP="009662A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9662A7">
              <w:rPr>
                <w:rFonts w:ascii="Arial" w:hAnsi="Arial" w:cs="Arial"/>
                <w:color w:val="000000" w:themeColor="text1"/>
                <w:sz w:val="18"/>
                <w:szCs w:val="18"/>
              </w:rPr>
              <w:t>$</w:t>
            </w:r>
            <w:r w:rsidR="00452152">
              <w:rPr>
                <w:rFonts w:ascii="Arial" w:hAnsi="Arial" w:cs="Arial"/>
                <w:color w:val="000000" w:themeColor="text1"/>
                <w:sz w:val="18"/>
                <w:szCs w:val="18"/>
              </w:rPr>
              <w:t>3.4</w:t>
            </w:r>
            <w:r w:rsidRPr="009662A7">
              <w:rPr>
                <w:rFonts w:ascii="Arial" w:hAnsi="Arial" w:cs="Arial"/>
                <w:color w:val="000000" w:themeColor="text1"/>
                <w:sz w:val="18"/>
                <w:szCs w:val="18"/>
              </w:rPr>
              <w:t>B</w:t>
            </w:r>
          </w:p>
        </w:tc>
        <w:tc>
          <w:tcPr>
            <w:tcW w:w="1333" w:type="dxa"/>
            <w:tcBorders>
              <w:top w:val="nil"/>
              <w:bottom w:val="nil"/>
            </w:tcBorders>
            <w:shd w:val="clear" w:color="auto" w:fill="D9D9D9" w:themeFill="background1" w:themeFillShade="D9"/>
          </w:tcPr>
          <w:p w14:paraId="79FD4C7C" w14:textId="4091078A" w:rsidR="009662A7" w:rsidRPr="000961A2" w:rsidRDefault="009662A7" w:rsidP="009662A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57642B">
              <w:rPr>
                <w:rFonts w:ascii="Arial" w:hAnsi="Arial" w:cs="Arial"/>
                <w:color w:val="000000"/>
                <w:sz w:val="18"/>
                <w:szCs w:val="18"/>
              </w:rPr>
              <w:t>+</w:t>
            </w:r>
            <w:r w:rsidR="00452152">
              <w:rPr>
                <w:rFonts w:ascii="Arial" w:hAnsi="Arial" w:cs="Arial"/>
                <w:color w:val="000000"/>
                <w:sz w:val="18"/>
                <w:szCs w:val="18"/>
              </w:rPr>
              <w:t>1.6</w:t>
            </w:r>
            <w:r w:rsidRPr="0057642B">
              <w:rPr>
                <w:rFonts w:ascii="Arial" w:hAnsi="Arial" w:cs="Arial"/>
                <w:color w:val="000000"/>
                <w:sz w:val="18"/>
                <w:szCs w:val="18"/>
              </w:rPr>
              <w:t>%</w:t>
            </w:r>
          </w:p>
        </w:tc>
        <w:tc>
          <w:tcPr>
            <w:tcW w:w="1333" w:type="dxa"/>
            <w:tcBorders>
              <w:top w:val="nil"/>
              <w:bottom w:val="nil"/>
            </w:tcBorders>
            <w:shd w:val="clear" w:color="auto" w:fill="D9D9D9" w:themeFill="background1" w:themeFillShade="D9"/>
          </w:tcPr>
          <w:p w14:paraId="056C2198" w14:textId="2B0BA2DF" w:rsidR="009662A7" w:rsidRPr="000961A2" w:rsidRDefault="009662A7" w:rsidP="009662A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w:t>
            </w:r>
            <w:r w:rsidR="00452152">
              <w:rPr>
                <w:rFonts w:ascii="Arial" w:hAnsi="Arial" w:cs="Arial"/>
                <w:color w:val="000000"/>
                <w:sz w:val="18"/>
                <w:szCs w:val="18"/>
              </w:rPr>
              <w:t>1.0</w:t>
            </w:r>
            <w:r w:rsidRPr="0057642B">
              <w:rPr>
                <w:rFonts w:ascii="Arial" w:hAnsi="Arial" w:cs="Arial"/>
                <w:color w:val="000000"/>
                <w:sz w:val="18"/>
                <w:szCs w:val="18"/>
              </w:rPr>
              <w:t>%</w:t>
            </w:r>
          </w:p>
        </w:tc>
      </w:tr>
      <w:tr w:rsidR="009662A7" w:rsidRPr="00956854" w14:paraId="4714E957" w14:textId="77777777" w:rsidTr="007E5368">
        <w:trPr>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right w:val="nil"/>
            </w:tcBorders>
            <w:vAlign w:val="center"/>
          </w:tcPr>
          <w:p w14:paraId="6F6CC4B7" w14:textId="77777777" w:rsidR="009662A7" w:rsidRPr="000961A2" w:rsidRDefault="009662A7" w:rsidP="009662A7">
            <w:pPr>
              <w:pStyle w:val="NoSpacing"/>
              <w:rPr>
                <w:rFonts w:ascii="Arial" w:hAnsi="Arial" w:cs="Arial"/>
                <w:b w:val="0"/>
                <w:bCs w:val="0"/>
                <w:color w:val="000000" w:themeColor="text1"/>
                <w:sz w:val="18"/>
                <w:szCs w:val="18"/>
              </w:rPr>
            </w:pPr>
            <w:r w:rsidRPr="000961A2">
              <w:rPr>
                <w:rFonts w:ascii="Arial" w:hAnsi="Arial" w:cs="Arial"/>
                <w:b w:val="0"/>
                <w:bCs w:val="0"/>
                <w:color w:val="000000" w:themeColor="text1"/>
                <w:sz w:val="18"/>
                <w:szCs w:val="18"/>
              </w:rPr>
              <w:t xml:space="preserve">Trays </w:t>
            </w:r>
          </w:p>
        </w:tc>
        <w:tc>
          <w:tcPr>
            <w:tcW w:w="990" w:type="dxa"/>
            <w:gridSpan w:val="2"/>
            <w:tcBorders>
              <w:top w:val="nil"/>
              <w:left w:val="nil"/>
              <w:bottom w:val="nil"/>
              <w:right w:val="nil"/>
            </w:tcBorders>
          </w:tcPr>
          <w:p w14:paraId="3AC38B41" w14:textId="27731511" w:rsidR="009662A7" w:rsidRPr="000D0537" w:rsidRDefault="009662A7" w:rsidP="009662A7">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3E6667">
              <w:rPr>
                <w:rFonts w:ascii="Arial" w:hAnsi="Arial" w:cs="Arial"/>
                <w:color w:val="auto"/>
                <w:sz w:val="18"/>
                <w:szCs w:val="18"/>
              </w:rPr>
              <w:t>$</w:t>
            </w:r>
            <w:r w:rsidR="00452152">
              <w:rPr>
                <w:rFonts w:ascii="Arial" w:hAnsi="Arial" w:cs="Arial"/>
                <w:color w:val="auto"/>
                <w:sz w:val="18"/>
                <w:szCs w:val="18"/>
              </w:rPr>
              <w:t>80</w:t>
            </w:r>
            <w:r w:rsidRPr="003E6667">
              <w:rPr>
                <w:rFonts w:ascii="Arial" w:hAnsi="Arial" w:cs="Arial"/>
                <w:color w:val="auto"/>
                <w:sz w:val="18"/>
                <w:szCs w:val="18"/>
              </w:rPr>
              <w:t>M</w:t>
            </w:r>
          </w:p>
        </w:tc>
        <w:tc>
          <w:tcPr>
            <w:tcW w:w="1075" w:type="dxa"/>
            <w:tcBorders>
              <w:top w:val="nil"/>
              <w:left w:val="nil"/>
              <w:bottom w:val="nil"/>
              <w:right w:val="nil"/>
            </w:tcBorders>
          </w:tcPr>
          <w:p w14:paraId="7AC2104E" w14:textId="67D9BBE8" w:rsidR="009662A7" w:rsidRPr="000961A2" w:rsidRDefault="009662A7" w:rsidP="009662A7">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w:t>
            </w:r>
            <w:r w:rsidR="00452152">
              <w:rPr>
                <w:rFonts w:ascii="Arial" w:hAnsi="Arial" w:cs="Arial"/>
                <w:color w:val="000000"/>
                <w:sz w:val="18"/>
                <w:szCs w:val="18"/>
              </w:rPr>
              <w:t>0.5</w:t>
            </w:r>
            <w:r w:rsidRPr="007626D2">
              <w:rPr>
                <w:rFonts w:ascii="Arial" w:hAnsi="Arial" w:cs="Arial"/>
                <w:color w:val="000000"/>
                <w:sz w:val="18"/>
                <w:szCs w:val="18"/>
              </w:rPr>
              <w:t>%</w:t>
            </w:r>
          </w:p>
        </w:tc>
        <w:tc>
          <w:tcPr>
            <w:tcW w:w="1333" w:type="dxa"/>
            <w:tcBorders>
              <w:top w:val="nil"/>
              <w:left w:val="nil"/>
              <w:bottom w:val="nil"/>
              <w:right w:val="single" w:sz="4" w:space="0" w:color="auto"/>
            </w:tcBorders>
          </w:tcPr>
          <w:p w14:paraId="01F87C6C" w14:textId="3A79F4A4" w:rsidR="009662A7" w:rsidRPr="000961A2" w:rsidRDefault="009662A7" w:rsidP="009662A7">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w:t>
            </w:r>
            <w:r w:rsidR="00452152">
              <w:rPr>
                <w:rFonts w:ascii="Arial" w:hAnsi="Arial" w:cs="Arial"/>
                <w:color w:val="000000"/>
                <w:sz w:val="18"/>
                <w:szCs w:val="18"/>
              </w:rPr>
              <w:t>2.3</w:t>
            </w:r>
            <w:r w:rsidRPr="00325E5E">
              <w:rPr>
                <w:rFonts w:ascii="Arial" w:hAnsi="Arial" w:cs="Arial"/>
                <w:color w:val="000000"/>
                <w:sz w:val="18"/>
                <w:szCs w:val="18"/>
              </w:rPr>
              <w:t>%</w:t>
            </w:r>
          </w:p>
        </w:tc>
        <w:tc>
          <w:tcPr>
            <w:tcW w:w="1732" w:type="dxa"/>
            <w:gridSpan w:val="2"/>
            <w:tcBorders>
              <w:top w:val="nil"/>
              <w:left w:val="single" w:sz="4" w:space="0" w:color="auto"/>
              <w:bottom w:val="nil"/>
              <w:right w:val="nil"/>
            </w:tcBorders>
            <w:vAlign w:val="center"/>
          </w:tcPr>
          <w:p w14:paraId="34C9E6EB" w14:textId="77777777" w:rsidR="009662A7" w:rsidRPr="000961A2" w:rsidRDefault="009662A7" w:rsidP="009662A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961A2">
              <w:rPr>
                <w:rFonts w:ascii="Arial" w:hAnsi="Arial" w:cs="Arial"/>
                <w:color w:val="000000" w:themeColor="text1"/>
                <w:sz w:val="18"/>
                <w:szCs w:val="18"/>
              </w:rPr>
              <w:t>Trays</w:t>
            </w:r>
          </w:p>
        </w:tc>
        <w:tc>
          <w:tcPr>
            <w:tcW w:w="934" w:type="dxa"/>
            <w:tcBorders>
              <w:top w:val="nil"/>
              <w:left w:val="nil"/>
              <w:bottom w:val="nil"/>
              <w:right w:val="nil"/>
            </w:tcBorders>
          </w:tcPr>
          <w:p w14:paraId="40AC9B3E" w14:textId="44D8837E" w:rsidR="009662A7" w:rsidRPr="009662A7" w:rsidRDefault="009662A7" w:rsidP="009662A7">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9662A7">
              <w:rPr>
                <w:rFonts w:ascii="Arial" w:hAnsi="Arial" w:cs="Arial"/>
                <w:color w:val="000000" w:themeColor="text1"/>
                <w:sz w:val="18"/>
                <w:szCs w:val="18"/>
              </w:rPr>
              <w:t>$</w:t>
            </w:r>
            <w:r w:rsidR="00452152">
              <w:rPr>
                <w:rFonts w:ascii="Arial" w:hAnsi="Arial" w:cs="Arial"/>
                <w:color w:val="000000" w:themeColor="text1"/>
                <w:sz w:val="18"/>
                <w:szCs w:val="18"/>
              </w:rPr>
              <w:t>1.2</w:t>
            </w:r>
            <w:r w:rsidRPr="009662A7">
              <w:rPr>
                <w:rFonts w:ascii="Arial" w:hAnsi="Arial" w:cs="Arial"/>
                <w:color w:val="000000" w:themeColor="text1"/>
                <w:sz w:val="18"/>
                <w:szCs w:val="18"/>
              </w:rPr>
              <w:t>B</w:t>
            </w:r>
          </w:p>
        </w:tc>
        <w:tc>
          <w:tcPr>
            <w:tcW w:w="1333" w:type="dxa"/>
            <w:tcBorders>
              <w:top w:val="nil"/>
              <w:left w:val="nil"/>
              <w:bottom w:val="nil"/>
              <w:right w:val="nil"/>
            </w:tcBorders>
          </w:tcPr>
          <w:p w14:paraId="38CC6A26" w14:textId="19B692BA" w:rsidR="009662A7" w:rsidRPr="000961A2" w:rsidRDefault="009662A7" w:rsidP="009662A7">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57642B">
              <w:rPr>
                <w:rFonts w:ascii="Arial" w:hAnsi="Arial" w:cs="Arial"/>
                <w:color w:val="000000"/>
                <w:sz w:val="18"/>
                <w:szCs w:val="18"/>
              </w:rPr>
              <w:t>+</w:t>
            </w:r>
            <w:r w:rsidR="00452152">
              <w:rPr>
                <w:rFonts w:ascii="Arial" w:hAnsi="Arial" w:cs="Arial"/>
                <w:color w:val="000000"/>
                <w:sz w:val="18"/>
                <w:szCs w:val="18"/>
              </w:rPr>
              <w:t>1.6</w:t>
            </w:r>
            <w:r w:rsidRPr="0057642B">
              <w:rPr>
                <w:rFonts w:ascii="Arial" w:hAnsi="Arial" w:cs="Arial"/>
                <w:color w:val="000000"/>
                <w:sz w:val="18"/>
                <w:szCs w:val="18"/>
              </w:rPr>
              <w:t>%</w:t>
            </w:r>
          </w:p>
        </w:tc>
        <w:tc>
          <w:tcPr>
            <w:tcW w:w="1333" w:type="dxa"/>
            <w:tcBorders>
              <w:top w:val="nil"/>
              <w:left w:val="nil"/>
              <w:bottom w:val="nil"/>
            </w:tcBorders>
          </w:tcPr>
          <w:p w14:paraId="1510F85E" w14:textId="2BDD9E80" w:rsidR="009662A7" w:rsidRPr="000961A2" w:rsidRDefault="009662A7" w:rsidP="009662A7">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57642B">
              <w:rPr>
                <w:rFonts w:ascii="Arial" w:hAnsi="Arial" w:cs="Arial"/>
                <w:color w:val="000000"/>
                <w:sz w:val="18"/>
                <w:szCs w:val="18"/>
              </w:rPr>
              <w:t>+</w:t>
            </w:r>
            <w:r w:rsidR="00452152">
              <w:rPr>
                <w:rFonts w:ascii="Arial" w:hAnsi="Arial" w:cs="Arial"/>
                <w:color w:val="000000"/>
                <w:sz w:val="18"/>
                <w:szCs w:val="18"/>
              </w:rPr>
              <w:t>1.5</w:t>
            </w:r>
            <w:r w:rsidRPr="0057642B">
              <w:rPr>
                <w:rFonts w:ascii="Arial" w:hAnsi="Arial" w:cs="Arial"/>
                <w:color w:val="000000"/>
                <w:sz w:val="18"/>
                <w:szCs w:val="18"/>
              </w:rPr>
              <w:t>%</w:t>
            </w:r>
          </w:p>
        </w:tc>
      </w:tr>
      <w:tr w:rsidR="009662A7" w:rsidRPr="00956854" w14:paraId="4096C4C5" w14:textId="77777777" w:rsidTr="007E5368">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D9D9D9" w:themeFill="background1" w:themeFillShade="D9"/>
            <w:vAlign w:val="center"/>
          </w:tcPr>
          <w:p w14:paraId="08489B7B" w14:textId="77777777" w:rsidR="009662A7" w:rsidRPr="000961A2" w:rsidRDefault="009662A7" w:rsidP="009662A7">
            <w:pPr>
              <w:pStyle w:val="NoSpacing"/>
              <w:rPr>
                <w:rFonts w:ascii="Arial" w:hAnsi="Arial" w:cs="Arial"/>
                <w:b w:val="0"/>
                <w:bCs w:val="0"/>
                <w:color w:val="000000" w:themeColor="text1"/>
                <w:sz w:val="18"/>
                <w:szCs w:val="18"/>
              </w:rPr>
            </w:pPr>
            <w:r w:rsidRPr="000961A2">
              <w:rPr>
                <w:rFonts w:ascii="Arial" w:hAnsi="Arial" w:cs="Arial"/>
                <w:b w:val="0"/>
                <w:bCs w:val="0"/>
                <w:color w:val="000000" w:themeColor="text1"/>
                <w:sz w:val="18"/>
                <w:szCs w:val="18"/>
              </w:rPr>
              <w:t>Spreads</w:t>
            </w:r>
          </w:p>
        </w:tc>
        <w:tc>
          <w:tcPr>
            <w:tcW w:w="990" w:type="dxa"/>
            <w:gridSpan w:val="2"/>
            <w:tcBorders>
              <w:top w:val="nil"/>
              <w:bottom w:val="nil"/>
            </w:tcBorders>
            <w:shd w:val="clear" w:color="auto" w:fill="D9D9D9" w:themeFill="background1" w:themeFillShade="D9"/>
          </w:tcPr>
          <w:p w14:paraId="64816E3C" w14:textId="4FB7E363" w:rsidR="009662A7" w:rsidRPr="000D0537" w:rsidRDefault="009662A7" w:rsidP="009662A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3E6667">
              <w:rPr>
                <w:rFonts w:ascii="Arial" w:hAnsi="Arial" w:cs="Arial"/>
                <w:color w:val="auto"/>
                <w:sz w:val="18"/>
                <w:szCs w:val="18"/>
              </w:rPr>
              <w:t>$</w:t>
            </w:r>
            <w:r w:rsidR="00452152">
              <w:rPr>
                <w:rFonts w:ascii="Arial" w:hAnsi="Arial" w:cs="Arial"/>
                <w:color w:val="auto"/>
                <w:sz w:val="18"/>
                <w:szCs w:val="18"/>
              </w:rPr>
              <w:t>82</w:t>
            </w:r>
            <w:r w:rsidRPr="003E6667">
              <w:rPr>
                <w:rFonts w:ascii="Arial" w:hAnsi="Arial" w:cs="Arial"/>
                <w:color w:val="auto"/>
                <w:sz w:val="18"/>
                <w:szCs w:val="18"/>
              </w:rPr>
              <w:t>M</w:t>
            </w:r>
          </w:p>
        </w:tc>
        <w:tc>
          <w:tcPr>
            <w:tcW w:w="1075" w:type="dxa"/>
            <w:tcBorders>
              <w:top w:val="nil"/>
              <w:bottom w:val="nil"/>
            </w:tcBorders>
            <w:shd w:val="clear" w:color="auto" w:fill="D9D9D9" w:themeFill="background1" w:themeFillShade="D9"/>
          </w:tcPr>
          <w:p w14:paraId="546EE89C" w14:textId="2F0852FA" w:rsidR="009662A7" w:rsidRPr="000961A2" w:rsidRDefault="009662A7" w:rsidP="009662A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w:t>
            </w:r>
            <w:r w:rsidR="00452152">
              <w:rPr>
                <w:rFonts w:ascii="Arial" w:hAnsi="Arial" w:cs="Arial"/>
                <w:color w:val="000000"/>
                <w:sz w:val="18"/>
                <w:szCs w:val="18"/>
              </w:rPr>
              <w:t>1.8</w:t>
            </w:r>
            <w:r w:rsidRPr="007626D2">
              <w:rPr>
                <w:rFonts w:ascii="Arial" w:hAnsi="Arial" w:cs="Arial"/>
                <w:color w:val="000000"/>
                <w:sz w:val="18"/>
                <w:szCs w:val="18"/>
              </w:rPr>
              <w:t>%</w:t>
            </w:r>
          </w:p>
        </w:tc>
        <w:tc>
          <w:tcPr>
            <w:tcW w:w="1333" w:type="dxa"/>
            <w:tcBorders>
              <w:top w:val="nil"/>
              <w:bottom w:val="nil"/>
              <w:right w:val="single" w:sz="4" w:space="0" w:color="auto"/>
            </w:tcBorders>
            <w:shd w:val="clear" w:color="auto" w:fill="D9D9D9" w:themeFill="background1" w:themeFillShade="D9"/>
          </w:tcPr>
          <w:p w14:paraId="3DDE8954" w14:textId="1090E653" w:rsidR="009662A7" w:rsidRPr="000961A2" w:rsidRDefault="009662A7" w:rsidP="009662A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2031F6">
              <w:rPr>
                <w:rFonts w:ascii="Arial" w:hAnsi="Arial" w:cs="Arial"/>
                <w:color w:val="000000"/>
                <w:sz w:val="18"/>
                <w:szCs w:val="18"/>
              </w:rPr>
              <w:t>-</w:t>
            </w:r>
            <w:r w:rsidR="00452152">
              <w:rPr>
                <w:rFonts w:ascii="Arial" w:hAnsi="Arial" w:cs="Arial"/>
                <w:color w:val="000000"/>
                <w:sz w:val="18"/>
                <w:szCs w:val="18"/>
              </w:rPr>
              <w:t>3.8</w:t>
            </w:r>
            <w:r w:rsidRPr="002031F6">
              <w:rPr>
                <w:rFonts w:ascii="Arial" w:hAnsi="Arial" w:cs="Arial"/>
                <w:color w:val="000000"/>
                <w:sz w:val="18"/>
                <w:szCs w:val="18"/>
              </w:rPr>
              <w:t>%</w:t>
            </w:r>
          </w:p>
        </w:tc>
        <w:tc>
          <w:tcPr>
            <w:tcW w:w="1732" w:type="dxa"/>
            <w:gridSpan w:val="2"/>
            <w:tcBorders>
              <w:top w:val="nil"/>
              <w:left w:val="single" w:sz="4" w:space="0" w:color="auto"/>
              <w:bottom w:val="nil"/>
            </w:tcBorders>
            <w:shd w:val="clear" w:color="auto" w:fill="D9D9D9" w:themeFill="background1" w:themeFillShade="D9"/>
            <w:vAlign w:val="center"/>
          </w:tcPr>
          <w:p w14:paraId="1D47417F" w14:textId="77777777" w:rsidR="009662A7" w:rsidRPr="000961A2" w:rsidRDefault="009662A7" w:rsidP="009662A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0961A2">
              <w:rPr>
                <w:rFonts w:ascii="Arial" w:hAnsi="Arial" w:cs="Arial"/>
                <w:color w:val="000000" w:themeColor="text1"/>
                <w:sz w:val="18"/>
                <w:szCs w:val="18"/>
              </w:rPr>
              <w:t>Spreads</w:t>
            </w:r>
          </w:p>
        </w:tc>
        <w:tc>
          <w:tcPr>
            <w:tcW w:w="934" w:type="dxa"/>
            <w:tcBorders>
              <w:top w:val="nil"/>
              <w:bottom w:val="nil"/>
            </w:tcBorders>
            <w:shd w:val="clear" w:color="auto" w:fill="D9D9D9" w:themeFill="background1" w:themeFillShade="D9"/>
          </w:tcPr>
          <w:p w14:paraId="51A860C7" w14:textId="5EEFAF17" w:rsidR="009662A7" w:rsidRPr="009662A7" w:rsidRDefault="009662A7" w:rsidP="009662A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9662A7">
              <w:rPr>
                <w:rFonts w:ascii="Arial" w:hAnsi="Arial" w:cs="Arial"/>
                <w:color w:val="000000" w:themeColor="text1"/>
                <w:sz w:val="18"/>
                <w:szCs w:val="18"/>
              </w:rPr>
              <w:t>$</w:t>
            </w:r>
            <w:r w:rsidR="00452152">
              <w:rPr>
                <w:rFonts w:ascii="Arial" w:hAnsi="Arial" w:cs="Arial"/>
                <w:color w:val="000000" w:themeColor="text1"/>
                <w:sz w:val="18"/>
                <w:szCs w:val="18"/>
              </w:rPr>
              <w:t>1.1</w:t>
            </w:r>
            <w:r w:rsidRPr="009662A7">
              <w:rPr>
                <w:rFonts w:ascii="Arial" w:hAnsi="Arial" w:cs="Arial"/>
                <w:color w:val="000000" w:themeColor="text1"/>
                <w:sz w:val="18"/>
                <w:szCs w:val="18"/>
              </w:rPr>
              <w:t>B</w:t>
            </w:r>
          </w:p>
        </w:tc>
        <w:tc>
          <w:tcPr>
            <w:tcW w:w="1333" w:type="dxa"/>
            <w:tcBorders>
              <w:top w:val="nil"/>
              <w:bottom w:val="nil"/>
            </w:tcBorders>
            <w:shd w:val="clear" w:color="auto" w:fill="D9D9D9" w:themeFill="background1" w:themeFillShade="D9"/>
          </w:tcPr>
          <w:p w14:paraId="4395A29C" w14:textId="5D893613" w:rsidR="009662A7" w:rsidRPr="000961A2" w:rsidRDefault="009662A7" w:rsidP="009662A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475F4A">
              <w:rPr>
                <w:rFonts w:ascii="Arial" w:hAnsi="Arial" w:cs="Arial"/>
                <w:color w:val="000000"/>
                <w:sz w:val="18"/>
                <w:szCs w:val="18"/>
              </w:rPr>
              <w:t>-</w:t>
            </w:r>
            <w:r w:rsidR="00452152">
              <w:rPr>
                <w:rFonts w:ascii="Arial" w:hAnsi="Arial" w:cs="Arial"/>
                <w:color w:val="000000"/>
                <w:sz w:val="18"/>
                <w:szCs w:val="18"/>
              </w:rPr>
              <w:t>0.6</w:t>
            </w:r>
            <w:r w:rsidRPr="00475F4A">
              <w:rPr>
                <w:rFonts w:ascii="Arial" w:hAnsi="Arial" w:cs="Arial"/>
                <w:color w:val="000000"/>
                <w:sz w:val="18"/>
                <w:szCs w:val="18"/>
              </w:rPr>
              <w:t>%</w:t>
            </w:r>
          </w:p>
        </w:tc>
        <w:tc>
          <w:tcPr>
            <w:tcW w:w="1333" w:type="dxa"/>
            <w:tcBorders>
              <w:top w:val="nil"/>
              <w:bottom w:val="nil"/>
            </w:tcBorders>
            <w:shd w:val="clear" w:color="auto" w:fill="D9D9D9" w:themeFill="background1" w:themeFillShade="D9"/>
          </w:tcPr>
          <w:p w14:paraId="5E8C1F39" w14:textId="09055D8B" w:rsidR="009662A7" w:rsidRPr="000961A2" w:rsidRDefault="009662A7" w:rsidP="009662A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475F4A">
              <w:rPr>
                <w:rFonts w:ascii="Arial" w:hAnsi="Arial" w:cs="Arial"/>
                <w:color w:val="000000"/>
                <w:sz w:val="18"/>
                <w:szCs w:val="18"/>
              </w:rPr>
              <w:t>-</w:t>
            </w:r>
            <w:r w:rsidR="00452152">
              <w:rPr>
                <w:rFonts w:ascii="Arial" w:hAnsi="Arial" w:cs="Arial"/>
                <w:color w:val="000000"/>
                <w:sz w:val="18"/>
                <w:szCs w:val="18"/>
              </w:rPr>
              <w:t>1.8</w:t>
            </w:r>
            <w:r w:rsidRPr="00475F4A">
              <w:rPr>
                <w:rFonts w:ascii="Arial" w:hAnsi="Arial" w:cs="Arial"/>
                <w:color w:val="000000"/>
                <w:sz w:val="18"/>
                <w:szCs w:val="18"/>
              </w:rPr>
              <w:t>%</w:t>
            </w:r>
          </w:p>
        </w:tc>
      </w:tr>
      <w:tr w:rsidR="00193E59" w:rsidRPr="00956854" w14:paraId="489EA340" w14:textId="77777777" w:rsidTr="007F6CEB">
        <w:trPr>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vAlign w:val="center"/>
          </w:tcPr>
          <w:p w14:paraId="73078517" w14:textId="77777777" w:rsidR="00193E59" w:rsidRPr="000961A2" w:rsidRDefault="00193E59" w:rsidP="00193E59">
            <w:pPr>
              <w:pStyle w:val="NoSpacing"/>
              <w:rPr>
                <w:rFonts w:ascii="Arial" w:hAnsi="Arial" w:cs="Arial"/>
                <w:b w:val="0"/>
                <w:bCs w:val="0"/>
                <w:color w:val="000000" w:themeColor="text1"/>
                <w:sz w:val="18"/>
                <w:szCs w:val="18"/>
              </w:rPr>
            </w:pPr>
            <w:r w:rsidRPr="000961A2">
              <w:rPr>
                <w:rFonts w:ascii="Arial" w:hAnsi="Arial" w:cs="Arial"/>
                <w:b w:val="0"/>
                <w:bCs w:val="0"/>
                <w:color w:val="000000" w:themeColor="text1"/>
                <w:sz w:val="18"/>
                <w:szCs w:val="18"/>
              </w:rPr>
              <w:t>Pickles/relish</w:t>
            </w:r>
          </w:p>
        </w:tc>
        <w:tc>
          <w:tcPr>
            <w:tcW w:w="990" w:type="dxa"/>
            <w:gridSpan w:val="2"/>
            <w:tcBorders>
              <w:top w:val="nil"/>
              <w:bottom w:val="nil"/>
            </w:tcBorders>
          </w:tcPr>
          <w:p w14:paraId="0289C729" w14:textId="4A8AD7B6" w:rsidR="00193E59" w:rsidRPr="000D0537" w:rsidRDefault="00193E59" w:rsidP="00193E5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3E6667">
              <w:rPr>
                <w:rFonts w:ascii="Arial" w:hAnsi="Arial" w:cs="Arial"/>
                <w:color w:val="auto"/>
                <w:sz w:val="18"/>
                <w:szCs w:val="18"/>
              </w:rPr>
              <w:t>$</w:t>
            </w:r>
            <w:r w:rsidR="00452152">
              <w:rPr>
                <w:rFonts w:ascii="Arial" w:hAnsi="Arial" w:cs="Arial"/>
                <w:color w:val="auto"/>
                <w:sz w:val="18"/>
                <w:szCs w:val="18"/>
              </w:rPr>
              <w:t>70</w:t>
            </w:r>
            <w:r w:rsidRPr="003E6667">
              <w:rPr>
                <w:rFonts w:ascii="Arial" w:hAnsi="Arial" w:cs="Arial"/>
                <w:color w:val="auto"/>
                <w:sz w:val="18"/>
                <w:szCs w:val="18"/>
              </w:rPr>
              <w:t>M</w:t>
            </w:r>
          </w:p>
        </w:tc>
        <w:tc>
          <w:tcPr>
            <w:tcW w:w="1075" w:type="dxa"/>
            <w:tcBorders>
              <w:top w:val="nil"/>
              <w:bottom w:val="nil"/>
            </w:tcBorders>
          </w:tcPr>
          <w:p w14:paraId="7AAA107C" w14:textId="7CD84193" w:rsidR="00193E59" w:rsidRPr="000961A2" w:rsidRDefault="009662A7" w:rsidP="00193E5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w:t>
            </w:r>
            <w:r w:rsidR="00452152">
              <w:rPr>
                <w:rFonts w:ascii="Arial" w:hAnsi="Arial" w:cs="Arial"/>
                <w:color w:val="000000"/>
                <w:sz w:val="18"/>
                <w:szCs w:val="18"/>
              </w:rPr>
              <w:t>8.5</w:t>
            </w:r>
            <w:r w:rsidR="00193E59" w:rsidRPr="002031F6">
              <w:rPr>
                <w:rFonts w:ascii="Arial" w:hAnsi="Arial" w:cs="Arial"/>
                <w:color w:val="000000"/>
                <w:sz w:val="18"/>
                <w:szCs w:val="18"/>
              </w:rPr>
              <w:t>%</w:t>
            </w:r>
          </w:p>
        </w:tc>
        <w:tc>
          <w:tcPr>
            <w:tcW w:w="1333" w:type="dxa"/>
            <w:tcBorders>
              <w:top w:val="nil"/>
              <w:bottom w:val="nil"/>
              <w:right w:val="single" w:sz="4" w:space="0" w:color="auto"/>
            </w:tcBorders>
          </w:tcPr>
          <w:p w14:paraId="694765C6" w14:textId="701A9EDF" w:rsidR="00193E59" w:rsidRPr="000961A2" w:rsidRDefault="009662A7" w:rsidP="00193E5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w:t>
            </w:r>
            <w:r w:rsidR="00452152">
              <w:rPr>
                <w:rFonts w:ascii="Arial" w:hAnsi="Arial" w:cs="Arial"/>
                <w:color w:val="000000"/>
                <w:sz w:val="18"/>
                <w:szCs w:val="18"/>
              </w:rPr>
              <w:t>1.2</w:t>
            </w:r>
            <w:r w:rsidR="00193E59" w:rsidRPr="002031F6">
              <w:rPr>
                <w:rFonts w:ascii="Arial" w:hAnsi="Arial" w:cs="Arial"/>
                <w:color w:val="000000"/>
                <w:sz w:val="18"/>
                <w:szCs w:val="18"/>
              </w:rPr>
              <w:t>%</w:t>
            </w:r>
          </w:p>
        </w:tc>
        <w:tc>
          <w:tcPr>
            <w:tcW w:w="1732" w:type="dxa"/>
            <w:gridSpan w:val="2"/>
            <w:tcBorders>
              <w:top w:val="nil"/>
              <w:left w:val="single" w:sz="4" w:space="0" w:color="auto"/>
              <w:bottom w:val="nil"/>
            </w:tcBorders>
            <w:vAlign w:val="center"/>
          </w:tcPr>
          <w:p w14:paraId="73185017" w14:textId="77777777" w:rsidR="00193E59" w:rsidRPr="000961A2" w:rsidRDefault="00193E59" w:rsidP="00193E59">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961A2">
              <w:rPr>
                <w:rFonts w:ascii="Arial" w:hAnsi="Arial" w:cs="Arial"/>
                <w:color w:val="000000" w:themeColor="text1"/>
                <w:sz w:val="18"/>
                <w:szCs w:val="18"/>
              </w:rPr>
              <w:t>Pickles/relish</w:t>
            </w:r>
          </w:p>
        </w:tc>
        <w:tc>
          <w:tcPr>
            <w:tcW w:w="934" w:type="dxa"/>
            <w:tcBorders>
              <w:top w:val="nil"/>
              <w:bottom w:val="nil"/>
            </w:tcBorders>
            <w:vAlign w:val="center"/>
          </w:tcPr>
          <w:p w14:paraId="06C58988" w14:textId="1F74F3DE" w:rsidR="00193E59" w:rsidRPr="000961A2" w:rsidRDefault="00193E59" w:rsidP="00193E5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0961A2">
              <w:rPr>
                <w:rFonts w:ascii="Arial" w:hAnsi="Arial" w:cs="Arial"/>
                <w:color w:val="000000" w:themeColor="text1"/>
                <w:sz w:val="18"/>
                <w:szCs w:val="18"/>
              </w:rPr>
              <w:t>$</w:t>
            </w:r>
            <w:r w:rsidR="00452152">
              <w:rPr>
                <w:rFonts w:ascii="Arial" w:hAnsi="Arial" w:cs="Arial"/>
                <w:color w:val="000000" w:themeColor="text1"/>
                <w:sz w:val="18"/>
                <w:szCs w:val="18"/>
              </w:rPr>
              <w:t>841</w:t>
            </w:r>
            <w:r w:rsidRPr="000961A2">
              <w:rPr>
                <w:rFonts w:ascii="Arial" w:hAnsi="Arial" w:cs="Arial"/>
                <w:color w:val="000000" w:themeColor="text1"/>
                <w:sz w:val="18"/>
                <w:szCs w:val="18"/>
              </w:rPr>
              <w:t>M</w:t>
            </w:r>
          </w:p>
        </w:tc>
        <w:tc>
          <w:tcPr>
            <w:tcW w:w="1333" w:type="dxa"/>
            <w:tcBorders>
              <w:top w:val="nil"/>
              <w:bottom w:val="nil"/>
            </w:tcBorders>
          </w:tcPr>
          <w:p w14:paraId="6339CD98" w14:textId="51A1EB73" w:rsidR="00193E59" w:rsidRPr="000961A2" w:rsidRDefault="00193E59" w:rsidP="00193E5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965E0B">
              <w:rPr>
                <w:rFonts w:ascii="Arial" w:hAnsi="Arial" w:cs="Arial"/>
                <w:color w:val="000000"/>
                <w:sz w:val="18"/>
                <w:szCs w:val="18"/>
              </w:rPr>
              <w:t>+</w:t>
            </w:r>
            <w:r w:rsidR="00452152">
              <w:rPr>
                <w:rFonts w:ascii="Arial" w:hAnsi="Arial" w:cs="Arial"/>
                <w:color w:val="000000"/>
                <w:sz w:val="18"/>
                <w:szCs w:val="18"/>
              </w:rPr>
              <w:t>3.5</w:t>
            </w:r>
            <w:r w:rsidRPr="00965E0B">
              <w:rPr>
                <w:rFonts w:ascii="Arial" w:hAnsi="Arial" w:cs="Arial"/>
                <w:color w:val="000000"/>
                <w:sz w:val="18"/>
                <w:szCs w:val="18"/>
              </w:rPr>
              <w:t>%</w:t>
            </w:r>
          </w:p>
        </w:tc>
        <w:tc>
          <w:tcPr>
            <w:tcW w:w="1333" w:type="dxa"/>
            <w:tcBorders>
              <w:top w:val="nil"/>
              <w:bottom w:val="nil"/>
            </w:tcBorders>
          </w:tcPr>
          <w:p w14:paraId="3B9119FC" w14:textId="445F30A7" w:rsidR="00193E59" w:rsidRPr="000961A2" w:rsidRDefault="009662A7" w:rsidP="00193E59">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w:t>
            </w:r>
            <w:r w:rsidR="00452152">
              <w:rPr>
                <w:rFonts w:ascii="Arial" w:hAnsi="Arial" w:cs="Arial"/>
                <w:color w:val="000000"/>
                <w:sz w:val="18"/>
                <w:szCs w:val="18"/>
              </w:rPr>
              <w:t>1.0</w:t>
            </w:r>
            <w:r w:rsidR="00193E59" w:rsidRPr="00965E0B">
              <w:rPr>
                <w:rFonts w:ascii="Arial" w:hAnsi="Arial" w:cs="Arial"/>
                <w:color w:val="000000"/>
                <w:sz w:val="18"/>
                <w:szCs w:val="18"/>
              </w:rPr>
              <w:t>%</w:t>
            </w:r>
          </w:p>
        </w:tc>
      </w:tr>
    </w:tbl>
    <w:p w14:paraId="08E9ABC4" w14:textId="77777777" w:rsidR="00A03097" w:rsidRPr="00216643" w:rsidRDefault="00A03097" w:rsidP="00A03097">
      <w:pPr>
        <w:pStyle w:val="NoSpacing"/>
        <w:rPr>
          <w:rFonts w:ascii="Arial" w:hAnsi="Arial" w:cs="Arial"/>
          <w:sz w:val="10"/>
          <w:szCs w:val="10"/>
        </w:rPr>
      </w:pPr>
    </w:p>
    <w:p w14:paraId="076F25B2" w14:textId="77777777" w:rsidR="00A03097" w:rsidRDefault="00A03097" w:rsidP="00A03097">
      <w:pPr>
        <w:pStyle w:val="NoSpacing"/>
        <w:rPr>
          <w:rFonts w:ascii="Arial" w:hAnsi="Arial" w:cs="Arial"/>
          <w:color w:val="7F7F7F" w:themeColor="text1" w:themeTint="80"/>
          <w:sz w:val="16"/>
          <w:szCs w:val="16"/>
        </w:rPr>
      </w:pPr>
      <w:r w:rsidRPr="00EC07EE">
        <w:rPr>
          <w:rFonts w:ascii="Arial" w:hAnsi="Arial" w:cs="Arial"/>
          <w:color w:val="7F7F7F" w:themeColor="text1" w:themeTint="80"/>
          <w:sz w:val="16"/>
          <w:szCs w:val="16"/>
        </w:rPr>
        <w:t xml:space="preserve">Source: Circana, Total US, </w:t>
      </w:r>
      <w:r>
        <w:rPr>
          <w:rFonts w:ascii="Arial" w:hAnsi="Arial" w:cs="Arial"/>
          <w:color w:val="7F7F7F" w:themeColor="text1" w:themeTint="80"/>
          <w:sz w:val="16"/>
          <w:szCs w:val="16"/>
        </w:rPr>
        <w:t>MULO+</w:t>
      </w:r>
      <w:r w:rsidRPr="00EC07EE">
        <w:rPr>
          <w:rFonts w:ascii="Arial" w:hAnsi="Arial" w:cs="Arial"/>
          <w:color w:val="7F7F7F" w:themeColor="text1" w:themeTint="80"/>
          <w:sz w:val="16"/>
          <w:szCs w:val="16"/>
        </w:rPr>
        <w:t>, Integrated Fresh, % increase versus same period year ago, deli prepared foods including both fixed and random weight, includes known deli products</w:t>
      </w:r>
    </w:p>
    <w:p w14:paraId="4E05C693" w14:textId="77777777" w:rsidR="00A03097" w:rsidRPr="00EC07EE" w:rsidRDefault="00A03097" w:rsidP="00A03097">
      <w:pPr>
        <w:pStyle w:val="NoSpacing"/>
        <w:rPr>
          <w:rFonts w:ascii="Arial" w:hAnsi="Arial" w:cs="Arial"/>
          <w:color w:val="7F7F7F" w:themeColor="text1" w:themeTint="80"/>
          <w:sz w:val="16"/>
          <w:szCs w:val="16"/>
        </w:rPr>
      </w:pPr>
    </w:p>
    <w:p w14:paraId="4E9FD5FC" w14:textId="77777777" w:rsidR="00A03097" w:rsidRDefault="00A03097" w:rsidP="00A03097">
      <w:pPr>
        <w:pStyle w:val="NoSpacing"/>
        <w:rPr>
          <w:rFonts w:ascii="Arial" w:hAnsi="Arial" w:cs="Arial"/>
          <w:sz w:val="16"/>
          <w:szCs w:val="16"/>
        </w:rPr>
      </w:pPr>
    </w:p>
    <w:p w14:paraId="64E1038E" w14:textId="0FEA32B1" w:rsidR="00A03097" w:rsidRPr="003E0342" w:rsidRDefault="00A03097" w:rsidP="00A03097">
      <w:pPr>
        <w:spacing w:after="0" w:line="240" w:lineRule="auto"/>
        <w:rPr>
          <w:rFonts w:ascii="Arial" w:hAnsi="Arial" w:cs="Arial"/>
          <w:b/>
          <w:color w:val="595959" w:themeColor="text1" w:themeTint="A6"/>
          <w:szCs w:val="28"/>
        </w:rPr>
      </w:pPr>
      <w:r w:rsidRPr="003E0342">
        <w:rPr>
          <w:rFonts w:ascii="Arial" w:hAnsi="Arial" w:cs="Arial"/>
          <w:b/>
          <w:color w:val="595959" w:themeColor="text1" w:themeTint="A6"/>
          <w:szCs w:val="28"/>
        </w:rPr>
        <w:t>Deli Prepared</w:t>
      </w:r>
    </w:p>
    <w:p w14:paraId="275244B7" w14:textId="226630A7" w:rsidR="00A03097" w:rsidRDefault="00D466B5" w:rsidP="00A03097">
      <w:pPr>
        <w:spacing w:after="0" w:line="240" w:lineRule="auto"/>
        <w:rPr>
          <w:rFonts w:ascii="Arial" w:hAnsi="Arial" w:cs="Arial"/>
          <w:sz w:val="20"/>
          <w:szCs w:val="20"/>
        </w:rPr>
      </w:pPr>
      <w:r>
        <w:rPr>
          <w:rFonts w:ascii="Arial" w:hAnsi="Arial" w:cs="Arial"/>
          <w:sz w:val="20"/>
          <w:szCs w:val="20"/>
        </w:rPr>
        <w:t xml:space="preserve">In March, restaurant trips were down 2% year-on-year, yet deli-prepared foods continued to grow. </w:t>
      </w:r>
      <w:r w:rsidR="004E5A7A">
        <w:rPr>
          <w:rFonts w:ascii="Arial" w:hAnsi="Arial" w:cs="Arial"/>
          <w:sz w:val="20"/>
          <w:szCs w:val="20"/>
        </w:rPr>
        <w:t>Entrees</w:t>
      </w:r>
      <w:r>
        <w:rPr>
          <w:rFonts w:ascii="Arial" w:hAnsi="Arial" w:cs="Arial"/>
          <w:sz w:val="20"/>
          <w:szCs w:val="20"/>
        </w:rPr>
        <w:t>, which includes sushi</w:t>
      </w:r>
      <w:r w:rsidR="004E5A7A">
        <w:rPr>
          <w:rFonts w:ascii="Arial" w:hAnsi="Arial" w:cs="Arial"/>
          <w:sz w:val="20"/>
          <w:szCs w:val="20"/>
        </w:rPr>
        <w:t xml:space="preserve">, sandwiches and appetizers had a strong </w:t>
      </w:r>
      <w:r w:rsidR="00193E59">
        <w:rPr>
          <w:rFonts w:ascii="Arial" w:hAnsi="Arial" w:cs="Arial"/>
          <w:sz w:val="20"/>
          <w:szCs w:val="20"/>
        </w:rPr>
        <w:t>March</w:t>
      </w:r>
      <w:r w:rsidR="004E5A7A">
        <w:rPr>
          <w:rFonts w:ascii="Arial" w:hAnsi="Arial" w:cs="Arial"/>
          <w:sz w:val="20"/>
          <w:szCs w:val="20"/>
        </w:rPr>
        <w:t xml:space="preserve"> from a unit perspective, while prepared meat sales were mostly flat. </w:t>
      </w:r>
      <w:r>
        <w:rPr>
          <w:rFonts w:ascii="Arial" w:hAnsi="Arial" w:cs="Arial"/>
          <w:sz w:val="20"/>
          <w:szCs w:val="20"/>
        </w:rPr>
        <w:t>Consumers declared an early end to soup and chili season, with unit sales down 4.1% year-on-year.</w:t>
      </w:r>
    </w:p>
    <w:p w14:paraId="1A22EA10" w14:textId="77777777" w:rsidR="00A03097" w:rsidRDefault="00A03097" w:rsidP="00A03097">
      <w:pPr>
        <w:spacing w:after="0" w:line="240" w:lineRule="auto"/>
        <w:rPr>
          <w:rFonts w:ascii="Arial" w:hAnsi="Arial" w:cs="Arial"/>
          <w:sz w:val="20"/>
          <w:szCs w:val="20"/>
        </w:rPr>
      </w:pPr>
    </w:p>
    <w:tbl>
      <w:tblPr>
        <w:tblStyle w:val="ListTable6Colorful"/>
        <w:tblW w:w="10440" w:type="dxa"/>
        <w:tblLayout w:type="fixed"/>
        <w:tblLook w:val="04A0" w:firstRow="1" w:lastRow="0" w:firstColumn="1" w:lastColumn="0" w:noHBand="0" w:noVBand="1"/>
      </w:tblPr>
      <w:tblGrid>
        <w:gridCol w:w="1707"/>
        <w:gridCol w:w="900"/>
        <w:gridCol w:w="90"/>
        <w:gridCol w:w="1075"/>
        <w:gridCol w:w="1332"/>
        <w:gridCol w:w="1733"/>
        <w:gridCol w:w="934"/>
        <w:gridCol w:w="1332"/>
        <w:gridCol w:w="1337"/>
      </w:tblGrid>
      <w:tr w:rsidR="00A03097" w:rsidRPr="0003007F" w14:paraId="569F3438" w14:textId="77777777" w:rsidTr="00E85BEE">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707" w:type="dxa"/>
            <w:tcBorders>
              <w:top w:val="nil"/>
              <w:bottom w:val="nil"/>
            </w:tcBorders>
            <w:shd w:val="clear" w:color="auto" w:fill="0F243E" w:themeFill="text2" w:themeFillShade="80"/>
          </w:tcPr>
          <w:p w14:paraId="487A2986" w14:textId="77777777" w:rsidR="00A03097" w:rsidRPr="00AB1306" w:rsidRDefault="00A03097" w:rsidP="000D0537">
            <w:pPr>
              <w:pStyle w:val="NoSpacing"/>
              <w:rPr>
                <w:rFonts w:ascii="Arial" w:hAnsi="Arial" w:cs="Arial"/>
                <w:color w:val="FFFFFF" w:themeColor="background1"/>
                <w:sz w:val="18"/>
                <w:szCs w:val="18"/>
              </w:rPr>
            </w:pPr>
          </w:p>
        </w:tc>
        <w:tc>
          <w:tcPr>
            <w:tcW w:w="3397" w:type="dxa"/>
            <w:gridSpan w:val="4"/>
            <w:tcBorders>
              <w:top w:val="nil"/>
              <w:bottom w:val="nil"/>
              <w:right w:val="single" w:sz="4" w:space="0" w:color="auto"/>
            </w:tcBorders>
            <w:shd w:val="clear" w:color="auto" w:fill="0F243E" w:themeFill="text2" w:themeFillShade="80"/>
            <w:vAlign w:val="center"/>
          </w:tcPr>
          <w:p w14:paraId="1197DEFC" w14:textId="1859939B" w:rsidR="00A03097" w:rsidRPr="00E21863" w:rsidRDefault="00193E59" w:rsidP="000D0537">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March</w:t>
            </w:r>
            <w:r w:rsidR="000D7CB9">
              <w:rPr>
                <w:rFonts w:ascii="Arial" w:hAnsi="Arial" w:cs="Arial"/>
                <w:color w:val="FFFFFF" w:themeColor="background1"/>
                <w:sz w:val="18"/>
                <w:szCs w:val="18"/>
              </w:rPr>
              <w:t xml:space="preserve"> 2026</w:t>
            </w:r>
          </w:p>
        </w:tc>
        <w:tc>
          <w:tcPr>
            <w:tcW w:w="1733" w:type="dxa"/>
            <w:tcBorders>
              <w:top w:val="nil"/>
              <w:left w:val="single" w:sz="4" w:space="0" w:color="auto"/>
              <w:bottom w:val="nil"/>
            </w:tcBorders>
            <w:shd w:val="clear" w:color="auto" w:fill="0F243E" w:themeFill="text2" w:themeFillShade="80"/>
          </w:tcPr>
          <w:p w14:paraId="0A523334" w14:textId="77777777" w:rsidR="00A03097" w:rsidRPr="00F515F4" w:rsidRDefault="00A03097" w:rsidP="000D0537">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
        </w:tc>
        <w:tc>
          <w:tcPr>
            <w:tcW w:w="3603" w:type="dxa"/>
            <w:gridSpan w:val="3"/>
            <w:tcBorders>
              <w:top w:val="nil"/>
              <w:bottom w:val="nil"/>
            </w:tcBorders>
            <w:shd w:val="clear" w:color="auto" w:fill="0F243E" w:themeFill="text2" w:themeFillShade="80"/>
            <w:vAlign w:val="center"/>
          </w:tcPr>
          <w:p w14:paraId="0E831A93" w14:textId="4E84AF59" w:rsidR="00A03097" w:rsidRPr="0003007F" w:rsidRDefault="000D7CB9" w:rsidP="000D0537">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A03097" w:rsidRPr="002A3B9B" w14:paraId="76D8A2F0" w14:textId="77777777" w:rsidTr="00E85BEE">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707" w:type="dxa"/>
            <w:tcBorders>
              <w:top w:val="nil"/>
              <w:bottom w:val="nil"/>
            </w:tcBorders>
            <w:shd w:val="clear" w:color="auto" w:fill="0F243E" w:themeFill="text2" w:themeFillShade="80"/>
          </w:tcPr>
          <w:p w14:paraId="34A338BD" w14:textId="77777777" w:rsidR="00A03097" w:rsidRPr="002A3B9B" w:rsidRDefault="00A03097" w:rsidP="000D0537">
            <w:pPr>
              <w:pStyle w:val="NoSpacing"/>
              <w:rPr>
                <w:rFonts w:ascii="Arial" w:hAnsi="Arial" w:cs="Arial"/>
                <w:color w:val="FFFFFF" w:themeColor="background1"/>
                <w:sz w:val="18"/>
                <w:szCs w:val="18"/>
              </w:rPr>
            </w:pPr>
            <w:r>
              <w:rPr>
                <w:rFonts w:ascii="Arial" w:hAnsi="Arial" w:cs="Arial"/>
                <w:color w:val="FFFFFF" w:themeColor="background1"/>
                <w:sz w:val="18"/>
                <w:szCs w:val="18"/>
              </w:rPr>
              <w:t>Deli prepared</w:t>
            </w:r>
          </w:p>
        </w:tc>
        <w:tc>
          <w:tcPr>
            <w:tcW w:w="900" w:type="dxa"/>
            <w:tcBorders>
              <w:top w:val="nil"/>
              <w:bottom w:val="nil"/>
            </w:tcBorders>
            <w:shd w:val="clear" w:color="auto" w:fill="0F243E" w:themeFill="text2" w:themeFillShade="80"/>
          </w:tcPr>
          <w:p w14:paraId="74C46FD1" w14:textId="77777777" w:rsidR="00A03097" w:rsidRPr="00E21863" w:rsidRDefault="00A03097" w:rsidP="000D053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E21863">
              <w:rPr>
                <w:rFonts w:ascii="Arial" w:hAnsi="Arial" w:cs="Arial"/>
                <w:b/>
                <w:bCs/>
                <w:color w:val="FFFFFF" w:themeColor="background1"/>
                <w:sz w:val="18"/>
                <w:szCs w:val="18"/>
              </w:rPr>
              <w:t>$ sales</w:t>
            </w:r>
          </w:p>
        </w:tc>
        <w:tc>
          <w:tcPr>
            <w:tcW w:w="1165" w:type="dxa"/>
            <w:gridSpan w:val="2"/>
            <w:tcBorders>
              <w:top w:val="nil"/>
              <w:bottom w:val="nil"/>
            </w:tcBorders>
            <w:shd w:val="clear" w:color="auto" w:fill="0F243E" w:themeFill="text2" w:themeFillShade="80"/>
          </w:tcPr>
          <w:p w14:paraId="2F0297DE" w14:textId="77777777" w:rsidR="00A03097" w:rsidRPr="00E21863" w:rsidRDefault="00A03097" w:rsidP="000D053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color w:val="FFFFFF" w:themeColor="background1"/>
                <w:sz w:val="18"/>
                <w:szCs w:val="18"/>
              </w:rPr>
              <w:t>$ vs. YA</w:t>
            </w:r>
          </w:p>
        </w:tc>
        <w:tc>
          <w:tcPr>
            <w:tcW w:w="1332" w:type="dxa"/>
            <w:tcBorders>
              <w:top w:val="nil"/>
              <w:bottom w:val="nil"/>
              <w:right w:val="single" w:sz="4" w:space="0" w:color="auto"/>
            </w:tcBorders>
            <w:shd w:val="clear" w:color="auto" w:fill="0F243E" w:themeFill="text2" w:themeFillShade="80"/>
          </w:tcPr>
          <w:p w14:paraId="1188EBB4" w14:textId="77777777" w:rsidR="00A03097" w:rsidRPr="00E21863" w:rsidRDefault="00A03097" w:rsidP="000D0537">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Units vs. YA</w:t>
            </w:r>
          </w:p>
        </w:tc>
        <w:tc>
          <w:tcPr>
            <w:tcW w:w="1733" w:type="dxa"/>
            <w:tcBorders>
              <w:top w:val="nil"/>
              <w:left w:val="single" w:sz="4" w:space="0" w:color="auto"/>
              <w:bottom w:val="nil"/>
            </w:tcBorders>
            <w:shd w:val="clear" w:color="auto" w:fill="0F243E" w:themeFill="text2" w:themeFillShade="80"/>
          </w:tcPr>
          <w:p w14:paraId="4CC719E1" w14:textId="77777777" w:rsidR="00A03097" w:rsidRPr="00E21863" w:rsidRDefault="00A03097" w:rsidP="000D0537">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
        </w:tc>
        <w:tc>
          <w:tcPr>
            <w:tcW w:w="934" w:type="dxa"/>
            <w:tcBorders>
              <w:top w:val="nil"/>
              <w:bottom w:val="nil"/>
            </w:tcBorders>
            <w:shd w:val="clear" w:color="auto" w:fill="0F243E" w:themeFill="text2" w:themeFillShade="80"/>
          </w:tcPr>
          <w:p w14:paraId="0D389D24" w14:textId="77777777" w:rsidR="00A03097" w:rsidRPr="002A3B9B" w:rsidRDefault="00A03097" w:rsidP="000D0537">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sales</w:t>
            </w:r>
          </w:p>
        </w:tc>
        <w:tc>
          <w:tcPr>
            <w:tcW w:w="1332" w:type="dxa"/>
            <w:tcBorders>
              <w:top w:val="nil"/>
              <w:bottom w:val="nil"/>
            </w:tcBorders>
            <w:shd w:val="clear" w:color="auto" w:fill="0F243E" w:themeFill="text2" w:themeFillShade="80"/>
          </w:tcPr>
          <w:p w14:paraId="4FF11DBB" w14:textId="77777777" w:rsidR="00A03097" w:rsidRPr="002A3B9B" w:rsidRDefault="00A03097" w:rsidP="000D0537">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w:t>
            </w:r>
            <w:r>
              <w:rPr>
                <w:rFonts w:ascii="Arial" w:hAnsi="Arial" w:cs="Arial"/>
                <w:b/>
                <w:bCs/>
                <w:color w:val="FFFFFF" w:themeColor="background1"/>
                <w:sz w:val="18"/>
                <w:szCs w:val="18"/>
              </w:rPr>
              <w:t xml:space="preserve"> vs. YA</w:t>
            </w:r>
          </w:p>
        </w:tc>
        <w:tc>
          <w:tcPr>
            <w:tcW w:w="1337" w:type="dxa"/>
            <w:tcBorders>
              <w:top w:val="nil"/>
              <w:bottom w:val="nil"/>
            </w:tcBorders>
            <w:shd w:val="clear" w:color="auto" w:fill="0F243E" w:themeFill="text2" w:themeFillShade="80"/>
          </w:tcPr>
          <w:p w14:paraId="700E7CDA" w14:textId="77777777" w:rsidR="00A03097" w:rsidRPr="002A3B9B" w:rsidRDefault="00A03097" w:rsidP="000D0537">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sidRPr="002A3B9B">
              <w:rPr>
                <w:rFonts w:ascii="Arial" w:hAnsi="Arial" w:cs="Arial"/>
                <w:b/>
                <w:bCs/>
                <w:color w:val="FFFFFF" w:themeColor="background1"/>
                <w:sz w:val="18"/>
                <w:szCs w:val="18"/>
              </w:rPr>
              <w:t>vs. YA</w:t>
            </w:r>
          </w:p>
        </w:tc>
      </w:tr>
      <w:tr w:rsidR="00C15B15" w:rsidRPr="004440D5" w14:paraId="437BEC92" w14:textId="77777777" w:rsidTr="00607CEC">
        <w:trPr>
          <w:trHeight w:val="257"/>
        </w:trPr>
        <w:tc>
          <w:tcPr>
            <w:cnfStyle w:val="001000000000" w:firstRow="0" w:lastRow="0" w:firstColumn="1" w:lastColumn="0" w:oddVBand="0" w:evenVBand="0" w:oddHBand="0" w:evenHBand="0" w:firstRowFirstColumn="0" w:firstRowLastColumn="0" w:lastRowFirstColumn="0" w:lastRowLastColumn="0"/>
            <w:tcW w:w="1707" w:type="dxa"/>
            <w:tcBorders>
              <w:top w:val="nil"/>
              <w:bottom w:val="nil"/>
            </w:tcBorders>
            <w:vAlign w:val="center"/>
          </w:tcPr>
          <w:p w14:paraId="6FEFD92E" w14:textId="77777777" w:rsidR="00C15B15" w:rsidRPr="00FF78BB" w:rsidRDefault="00C15B15" w:rsidP="00C15B15">
            <w:pPr>
              <w:pStyle w:val="NoSpacing"/>
              <w:rPr>
                <w:rFonts w:ascii="Arial" w:hAnsi="Arial" w:cs="Arial"/>
                <w:sz w:val="18"/>
                <w:szCs w:val="18"/>
              </w:rPr>
            </w:pPr>
            <w:r w:rsidRPr="00FF78BB">
              <w:rPr>
                <w:rFonts w:ascii="Arial" w:hAnsi="Arial" w:cs="Arial"/>
                <w:sz w:val="18"/>
                <w:szCs w:val="18"/>
              </w:rPr>
              <w:t>Deli prepared</w:t>
            </w:r>
          </w:p>
        </w:tc>
        <w:tc>
          <w:tcPr>
            <w:tcW w:w="990" w:type="dxa"/>
            <w:gridSpan w:val="2"/>
            <w:tcBorders>
              <w:top w:val="nil"/>
            </w:tcBorders>
            <w:vAlign w:val="center"/>
          </w:tcPr>
          <w:p w14:paraId="5F6BADA0" w14:textId="6BE1490E" w:rsidR="00C15B15" w:rsidRPr="00C15B15" w:rsidRDefault="00C15B15" w:rsidP="00662B2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C15B15">
              <w:rPr>
                <w:rFonts w:ascii="Arial" w:hAnsi="Arial" w:cs="Arial"/>
                <w:b/>
                <w:sz w:val="18"/>
                <w:szCs w:val="18"/>
              </w:rPr>
              <w:t>$</w:t>
            </w:r>
            <w:r w:rsidR="00ED1844">
              <w:rPr>
                <w:rFonts w:ascii="Arial" w:hAnsi="Arial" w:cs="Arial"/>
                <w:b/>
                <w:sz w:val="18"/>
                <w:szCs w:val="18"/>
              </w:rPr>
              <w:t>2.4</w:t>
            </w:r>
            <w:r w:rsidRPr="00C15B15">
              <w:rPr>
                <w:rFonts w:ascii="Arial" w:hAnsi="Arial" w:cs="Arial"/>
                <w:b/>
                <w:sz w:val="18"/>
                <w:szCs w:val="18"/>
              </w:rPr>
              <w:t>B</w:t>
            </w:r>
          </w:p>
        </w:tc>
        <w:tc>
          <w:tcPr>
            <w:tcW w:w="1075" w:type="dxa"/>
            <w:tcBorders>
              <w:top w:val="nil"/>
            </w:tcBorders>
            <w:vAlign w:val="center"/>
          </w:tcPr>
          <w:p w14:paraId="40F0ACF7" w14:textId="0EDB19DD" w:rsidR="00C15B15" w:rsidRPr="00C15B15" w:rsidRDefault="00C15B15" w:rsidP="00C15B1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C15B15">
              <w:rPr>
                <w:rFonts w:ascii="Arial" w:hAnsi="Arial" w:cs="Arial"/>
                <w:b/>
                <w:sz w:val="18"/>
                <w:szCs w:val="18"/>
              </w:rPr>
              <w:t>+</w:t>
            </w:r>
            <w:r w:rsidR="00ED1844">
              <w:rPr>
                <w:rFonts w:ascii="Arial" w:hAnsi="Arial" w:cs="Arial"/>
                <w:b/>
                <w:sz w:val="18"/>
                <w:szCs w:val="18"/>
              </w:rPr>
              <w:t>1.7</w:t>
            </w:r>
            <w:r w:rsidRPr="00C15B15">
              <w:rPr>
                <w:rFonts w:ascii="Arial" w:hAnsi="Arial" w:cs="Arial"/>
                <w:b/>
                <w:sz w:val="18"/>
                <w:szCs w:val="18"/>
              </w:rPr>
              <w:t>%</w:t>
            </w:r>
          </w:p>
        </w:tc>
        <w:tc>
          <w:tcPr>
            <w:tcW w:w="1332" w:type="dxa"/>
            <w:tcBorders>
              <w:top w:val="nil"/>
              <w:right w:val="single" w:sz="4" w:space="0" w:color="auto"/>
            </w:tcBorders>
            <w:vAlign w:val="center"/>
          </w:tcPr>
          <w:p w14:paraId="6C285166" w14:textId="7C362D09" w:rsidR="00C15B15" w:rsidRPr="00C15B15" w:rsidRDefault="00C15B15" w:rsidP="00C15B1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C15B15">
              <w:rPr>
                <w:rFonts w:ascii="Arial" w:hAnsi="Arial" w:cs="Arial"/>
                <w:b/>
                <w:sz w:val="18"/>
                <w:szCs w:val="18"/>
              </w:rPr>
              <w:t>+</w:t>
            </w:r>
            <w:r w:rsidR="00ED1844">
              <w:rPr>
                <w:rFonts w:ascii="Arial" w:hAnsi="Arial" w:cs="Arial"/>
                <w:b/>
                <w:sz w:val="18"/>
                <w:szCs w:val="18"/>
              </w:rPr>
              <w:t>2.3</w:t>
            </w:r>
            <w:r w:rsidRPr="00C15B15">
              <w:rPr>
                <w:rFonts w:ascii="Arial" w:hAnsi="Arial" w:cs="Arial"/>
                <w:b/>
                <w:sz w:val="18"/>
                <w:szCs w:val="18"/>
              </w:rPr>
              <w:t>%</w:t>
            </w:r>
          </w:p>
        </w:tc>
        <w:tc>
          <w:tcPr>
            <w:tcW w:w="1733" w:type="dxa"/>
            <w:tcBorders>
              <w:top w:val="nil"/>
              <w:left w:val="single" w:sz="4" w:space="0" w:color="auto"/>
            </w:tcBorders>
            <w:vAlign w:val="center"/>
          </w:tcPr>
          <w:p w14:paraId="61C7B5CE" w14:textId="77777777" w:rsidR="00C15B15" w:rsidRPr="000046C7" w:rsidRDefault="00C15B15" w:rsidP="00C15B15">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0046C7">
              <w:rPr>
                <w:rFonts w:ascii="Arial" w:hAnsi="Arial" w:cs="Arial"/>
                <w:b/>
                <w:sz w:val="18"/>
                <w:szCs w:val="18"/>
              </w:rPr>
              <w:t>Deli prepared</w:t>
            </w:r>
          </w:p>
        </w:tc>
        <w:tc>
          <w:tcPr>
            <w:tcW w:w="934" w:type="dxa"/>
            <w:tcBorders>
              <w:top w:val="nil"/>
            </w:tcBorders>
            <w:vAlign w:val="center"/>
          </w:tcPr>
          <w:p w14:paraId="45969480" w14:textId="2275E61B" w:rsidR="00C15B15" w:rsidRPr="00C15B15" w:rsidRDefault="00C15B15" w:rsidP="00211CA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C15B15">
              <w:rPr>
                <w:rFonts w:ascii="Arial" w:hAnsi="Arial" w:cs="Arial"/>
                <w:b/>
                <w:sz w:val="18"/>
                <w:szCs w:val="18"/>
              </w:rPr>
              <w:t>$</w:t>
            </w:r>
            <w:r w:rsidR="00ED1844">
              <w:rPr>
                <w:rFonts w:ascii="Arial" w:hAnsi="Arial" w:cs="Arial"/>
                <w:b/>
                <w:sz w:val="18"/>
                <w:szCs w:val="18"/>
              </w:rPr>
              <w:t>31.7</w:t>
            </w:r>
            <w:r w:rsidRPr="00C15B15">
              <w:rPr>
                <w:rFonts w:ascii="Arial" w:hAnsi="Arial" w:cs="Arial"/>
                <w:b/>
                <w:sz w:val="18"/>
                <w:szCs w:val="18"/>
              </w:rPr>
              <w:t>B</w:t>
            </w:r>
          </w:p>
        </w:tc>
        <w:tc>
          <w:tcPr>
            <w:tcW w:w="1332" w:type="dxa"/>
            <w:tcBorders>
              <w:top w:val="nil"/>
            </w:tcBorders>
            <w:vAlign w:val="center"/>
          </w:tcPr>
          <w:p w14:paraId="3CCBC539" w14:textId="3FDB4DF1" w:rsidR="00C15B15" w:rsidRPr="00C15B15" w:rsidRDefault="00C15B15" w:rsidP="00C15B1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C15B15">
              <w:rPr>
                <w:rFonts w:ascii="Arial" w:hAnsi="Arial" w:cs="Arial"/>
                <w:b/>
                <w:sz w:val="18"/>
                <w:szCs w:val="18"/>
              </w:rPr>
              <w:t>+</w:t>
            </w:r>
            <w:r w:rsidR="00ED1844">
              <w:rPr>
                <w:rFonts w:ascii="Arial" w:hAnsi="Arial" w:cs="Arial"/>
                <w:b/>
                <w:sz w:val="18"/>
                <w:szCs w:val="18"/>
              </w:rPr>
              <w:t>3.7</w:t>
            </w:r>
            <w:r w:rsidRPr="00C15B15">
              <w:rPr>
                <w:rFonts w:ascii="Arial" w:hAnsi="Arial" w:cs="Arial"/>
                <w:b/>
                <w:sz w:val="18"/>
                <w:szCs w:val="18"/>
              </w:rPr>
              <w:t>%</w:t>
            </w:r>
          </w:p>
        </w:tc>
        <w:tc>
          <w:tcPr>
            <w:tcW w:w="1337" w:type="dxa"/>
            <w:tcBorders>
              <w:top w:val="nil"/>
            </w:tcBorders>
            <w:vAlign w:val="center"/>
          </w:tcPr>
          <w:p w14:paraId="7059E390" w14:textId="7AF7A502" w:rsidR="00C15B15" w:rsidRPr="00C15B15" w:rsidRDefault="00C15B15" w:rsidP="00C15B1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C15B15">
              <w:rPr>
                <w:rFonts w:ascii="Arial" w:hAnsi="Arial" w:cs="Arial"/>
                <w:b/>
                <w:sz w:val="18"/>
                <w:szCs w:val="18"/>
              </w:rPr>
              <w:t>+</w:t>
            </w:r>
            <w:r w:rsidR="001938B6">
              <w:rPr>
                <w:rFonts w:ascii="Arial" w:hAnsi="Arial" w:cs="Arial"/>
                <w:b/>
                <w:sz w:val="18"/>
                <w:szCs w:val="18"/>
              </w:rPr>
              <w:t>3.3</w:t>
            </w:r>
            <w:r w:rsidRPr="00C15B15">
              <w:rPr>
                <w:rFonts w:ascii="Arial" w:hAnsi="Arial" w:cs="Arial"/>
                <w:b/>
                <w:sz w:val="18"/>
                <w:szCs w:val="18"/>
              </w:rPr>
              <w:t>%</w:t>
            </w:r>
          </w:p>
        </w:tc>
      </w:tr>
      <w:tr w:rsidR="009662A7" w:rsidRPr="004C4D23" w14:paraId="25533F62" w14:textId="77777777" w:rsidTr="00E12A4D">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07" w:type="dxa"/>
            <w:tcBorders>
              <w:top w:val="nil"/>
            </w:tcBorders>
            <w:vAlign w:val="center"/>
          </w:tcPr>
          <w:p w14:paraId="042F6E31" w14:textId="77777777" w:rsidR="009662A7" w:rsidRPr="00FF78BB" w:rsidRDefault="009662A7" w:rsidP="009662A7">
            <w:pPr>
              <w:pStyle w:val="NoSpacing"/>
              <w:rPr>
                <w:rFonts w:ascii="Arial" w:hAnsi="Arial" w:cs="Arial"/>
                <w:b w:val="0"/>
                <w:bCs w:val="0"/>
                <w:sz w:val="18"/>
                <w:szCs w:val="18"/>
              </w:rPr>
            </w:pPr>
            <w:r w:rsidRPr="00FF78BB">
              <w:rPr>
                <w:rFonts w:ascii="Arial" w:hAnsi="Arial" w:cs="Arial"/>
                <w:b w:val="0"/>
                <w:bCs w:val="0"/>
                <w:sz w:val="18"/>
                <w:szCs w:val="18"/>
              </w:rPr>
              <w:t>Entrees</w:t>
            </w:r>
          </w:p>
        </w:tc>
        <w:tc>
          <w:tcPr>
            <w:tcW w:w="990" w:type="dxa"/>
            <w:gridSpan w:val="2"/>
          </w:tcPr>
          <w:p w14:paraId="2AA2F66A" w14:textId="50B9E430" w:rsidR="009662A7" w:rsidRPr="00FF78BB" w:rsidRDefault="009662A7" w:rsidP="009662A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F4B83">
              <w:rPr>
                <w:rFonts w:ascii="Arial" w:hAnsi="Arial" w:cs="Arial"/>
                <w:color w:val="auto"/>
                <w:sz w:val="18"/>
                <w:szCs w:val="18"/>
              </w:rPr>
              <w:t>$</w:t>
            </w:r>
            <w:r w:rsidR="00ED1844">
              <w:rPr>
                <w:rFonts w:ascii="Arial" w:hAnsi="Arial" w:cs="Arial"/>
                <w:color w:val="auto"/>
                <w:sz w:val="18"/>
                <w:szCs w:val="18"/>
              </w:rPr>
              <w:t>729</w:t>
            </w:r>
            <w:r w:rsidRPr="000F4B83">
              <w:rPr>
                <w:rFonts w:ascii="Arial" w:hAnsi="Arial" w:cs="Arial"/>
                <w:color w:val="auto"/>
                <w:sz w:val="18"/>
                <w:szCs w:val="18"/>
              </w:rPr>
              <w:t>M</w:t>
            </w:r>
          </w:p>
        </w:tc>
        <w:tc>
          <w:tcPr>
            <w:tcW w:w="1075" w:type="dxa"/>
          </w:tcPr>
          <w:p w14:paraId="48D40538" w14:textId="108EE63A" w:rsidR="009662A7" w:rsidRPr="00DE21B8" w:rsidRDefault="009662A7" w:rsidP="009662A7">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A66F23">
              <w:rPr>
                <w:rFonts w:ascii="Arial" w:hAnsi="Arial" w:cs="Arial"/>
                <w:color w:val="000000"/>
                <w:sz w:val="18"/>
                <w:szCs w:val="18"/>
              </w:rPr>
              <w:t>+</w:t>
            </w:r>
            <w:r w:rsidR="00ED1844">
              <w:rPr>
                <w:rFonts w:ascii="Arial" w:hAnsi="Arial" w:cs="Arial"/>
                <w:color w:val="000000"/>
                <w:sz w:val="18"/>
                <w:szCs w:val="18"/>
              </w:rPr>
              <w:t>3.6</w:t>
            </w:r>
            <w:r w:rsidRPr="00A66F23">
              <w:rPr>
                <w:rFonts w:ascii="Arial" w:hAnsi="Arial" w:cs="Arial"/>
                <w:color w:val="000000"/>
                <w:sz w:val="18"/>
                <w:szCs w:val="18"/>
              </w:rPr>
              <w:t>%</w:t>
            </w:r>
          </w:p>
        </w:tc>
        <w:tc>
          <w:tcPr>
            <w:tcW w:w="1332" w:type="dxa"/>
            <w:tcBorders>
              <w:right w:val="single" w:sz="4" w:space="0" w:color="auto"/>
            </w:tcBorders>
          </w:tcPr>
          <w:p w14:paraId="08D8FE7A" w14:textId="627F178B" w:rsidR="009662A7" w:rsidRPr="004F6785" w:rsidRDefault="009662A7" w:rsidP="009662A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66F23">
              <w:rPr>
                <w:rFonts w:ascii="Arial" w:hAnsi="Arial" w:cs="Arial"/>
                <w:color w:val="000000"/>
                <w:sz w:val="18"/>
                <w:szCs w:val="18"/>
              </w:rPr>
              <w:t>+</w:t>
            </w:r>
            <w:r w:rsidR="00ED1844">
              <w:rPr>
                <w:rFonts w:ascii="Arial" w:hAnsi="Arial" w:cs="Arial"/>
                <w:color w:val="000000"/>
                <w:sz w:val="18"/>
                <w:szCs w:val="18"/>
              </w:rPr>
              <w:t>2.2</w:t>
            </w:r>
            <w:r w:rsidRPr="00A66F23">
              <w:rPr>
                <w:rFonts w:ascii="Arial" w:hAnsi="Arial" w:cs="Arial"/>
                <w:color w:val="000000"/>
                <w:sz w:val="18"/>
                <w:szCs w:val="18"/>
              </w:rPr>
              <w:t>%</w:t>
            </w:r>
          </w:p>
        </w:tc>
        <w:tc>
          <w:tcPr>
            <w:tcW w:w="1733" w:type="dxa"/>
            <w:tcBorders>
              <w:left w:val="single" w:sz="4" w:space="0" w:color="auto"/>
            </w:tcBorders>
            <w:vAlign w:val="center"/>
          </w:tcPr>
          <w:p w14:paraId="07A74C97" w14:textId="77777777" w:rsidR="009662A7" w:rsidRPr="00FF78BB" w:rsidRDefault="009662A7" w:rsidP="009662A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F78BB">
              <w:rPr>
                <w:rFonts w:ascii="Arial" w:hAnsi="Arial" w:cs="Arial"/>
                <w:sz w:val="18"/>
                <w:szCs w:val="18"/>
              </w:rPr>
              <w:t>Entrees</w:t>
            </w:r>
          </w:p>
        </w:tc>
        <w:tc>
          <w:tcPr>
            <w:tcW w:w="934" w:type="dxa"/>
          </w:tcPr>
          <w:p w14:paraId="3831EE29" w14:textId="186CA01D" w:rsidR="009662A7" w:rsidRPr="00FF78BB" w:rsidRDefault="009662A7" w:rsidP="009662A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B5B8E">
              <w:rPr>
                <w:rFonts w:ascii="Arial" w:hAnsi="Arial" w:cs="Arial"/>
                <w:sz w:val="18"/>
                <w:szCs w:val="18"/>
              </w:rPr>
              <w:t>$</w:t>
            </w:r>
            <w:r w:rsidR="00ED1844">
              <w:rPr>
                <w:rFonts w:ascii="Arial" w:hAnsi="Arial" w:cs="Arial"/>
                <w:sz w:val="18"/>
                <w:szCs w:val="18"/>
              </w:rPr>
              <w:t>9.2</w:t>
            </w:r>
            <w:r w:rsidRPr="00EB5B8E">
              <w:rPr>
                <w:rFonts w:ascii="Arial" w:hAnsi="Arial" w:cs="Arial"/>
                <w:sz w:val="18"/>
                <w:szCs w:val="18"/>
              </w:rPr>
              <w:t>B</w:t>
            </w:r>
          </w:p>
        </w:tc>
        <w:tc>
          <w:tcPr>
            <w:tcW w:w="1332" w:type="dxa"/>
          </w:tcPr>
          <w:p w14:paraId="6E8A624C" w14:textId="34952B82" w:rsidR="009662A7" w:rsidRPr="00E85BEE" w:rsidRDefault="009662A7" w:rsidP="009662A7">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5E0760">
              <w:rPr>
                <w:rFonts w:ascii="Arial" w:hAnsi="Arial" w:cs="Arial"/>
                <w:color w:val="000000"/>
                <w:sz w:val="18"/>
                <w:szCs w:val="18"/>
              </w:rPr>
              <w:t>+</w:t>
            </w:r>
            <w:r w:rsidR="00ED1844">
              <w:rPr>
                <w:rFonts w:ascii="Arial" w:hAnsi="Arial" w:cs="Arial"/>
                <w:color w:val="000000"/>
                <w:sz w:val="18"/>
                <w:szCs w:val="18"/>
              </w:rPr>
              <w:t>6.7</w:t>
            </w:r>
            <w:r w:rsidRPr="005E0760">
              <w:rPr>
                <w:rFonts w:ascii="Arial" w:hAnsi="Arial" w:cs="Arial"/>
                <w:color w:val="000000"/>
                <w:sz w:val="18"/>
                <w:szCs w:val="18"/>
              </w:rPr>
              <w:t>%</w:t>
            </w:r>
          </w:p>
        </w:tc>
        <w:tc>
          <w:tcPr>
            <w:tcW w:w="1337" w:type="dxa"/>
          </w:tcPr>
          <w:p w14:paraId="4DEA01C8" w14:textId="1A3AE028" w:rsidR="009662A7" w:rsidRPr="00E85BEE" w:rsidRDefault="009662A7" w:rsidP="009662A7">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5E0760">
              <w:rPr>
                <w:rFonts w:ascii="Arial" w:hAnsi="Arial" w:cs="Arial"/>
                <w:color w:val="000000"/>
                <w:sz w:val="18"/>
                <w:szCs w:val="18"/>
              </w:rPr>
              <w:t>+</w:t>
            </w:r>
            <w:r w:rsidR="001938B6">
              <w:rPr>
                <w:rFonts w:ascii="Arial" w:hAnsi="Arial" w:cs="Arial"/>
                <w:color w:val="000000"/>
                <w:sz w:val="18"/>
                <w:szCs w:val="18"/>
              </w:rPr>
              <w:t>4.9</w:t>
            </w:r>
            <w:r w:rsidRPr="005E0760">
              <w:rPr>
                <w:rFonts w:ascii="Arial" w:hAnsi="Arial" w:cs="Arial"/>
                <w:color w:val="000000"/>
                <w:sz w:val="18"/>
                <w:szCs w:val="18"/>
              </w:rPr>
              <w:t>%</w:t>
            </w:r>
          </w:p>
        </w:tc>
      </w:tr>
      <w:tr w:rsidR="009662A7" w:rsidRPr="004C4D23" w14:paraId="5CF0AC5D" w14:textId="77777777" w:rsidTr="00E12A4D">
        <w:trPr>
          <w:trHeight w:val="257"/>
        </w:trPr>
        <w:tc>
          <w:tcPr>
            <w:cnfStyle w:val="001000000000" w:firstRow="0" w:lastRow="0" w:firstColumn="1" w:lastColumn="0" w:oddVBand="0" w:evenVBand="0" w:oddHBand="0" w:evenHBand="0" w:firstRowFirstColumn="0" w:firstRowLastColumn="0" w:lastRowFirstColumn="0" w:lastRowLastColumn="0"/>
            <w:tcW w:w="1707" w:type="dxa"/>
            <w:vAlign w:val="center"/>
          </w:tcPr>
          <w:p w14:paraId="05B35165" w14:textId="77777777" w:rsidR="009662A7" w:rsidRPr="00FF78BB" w:rsidRDefault="009662A7" w:rsidP="009662A7">
            <w:pPr>
              <w:pStyle w:val="NoSpacing"/>
              <w:rPr>
                <w:rFonts w:ascii="Arial" w:hAnsi="Arial" w:cs="Arial"/>
                <w:b w:val="0"/>
                <w:bCs w:val="0"/>
                <w:sz w:val="18"/>
                <w:szCs w:val="18"/>
              </w:rPr>
            </w:pPr>
            <w:r w:rsidRPr="00FF78BB">
              <w:rPr>
                <w:rFonts w:ascii="Arial" w:hAnsi="Arial" w:cs="Arial"/>
                <w:b w:val="0"/>
                <w:bCs w:val="0"/>
                <w:sz w:val="18"/>
                <w:szCs w:val="18"/>
              </w:rPr>
              <w:t>Prepared meats</w:t>
            </w:r>
          </w:p>
        </w:tc>
        <w:tc>
          <w:tcPr>
            <w:tcW w:w="990" w:type="dxa"/>
            <w:gridSpan w:val="2"/>
          </w:tcPr>
          <w:p w14:paraId="4B464B69" w14:textId="71922D06" w:rsidR="009662A7" w:rsidRPr="00FF78BB" w:rsidRDefault="009662A7" w:rsidP="009662A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F4B83">
              <w:rPr>
                <w:rFonts w:ascii="Arial" w:hAnsi="Arial" w:cs="Arial"/>
                <w:color w:val="auto"/>
                <w:sz w:val="18"/>
                <w:szCs w:val="18"/>
              </w:rPr>
              <w:t>$</w:t>
            </w:r>
            <w:r w:rsidR="00ED1844">
              <w:rPr>
                <w:rFonts w:ascii="Arial" w:hAnsi="Arial" w:cs="Arial"/>
                <w:color w:val="auto"/>
                <w:sz w:val="18"/>
                <w:szCs w:val="18"/>
              </w:rPr>
              <w:t>486</w:t>
            </w:r>
            <w:r w:rsidRPr="000F4B83">
              <w:rPr>
                <w:rFonts w:ascii="Arial" w:hAnsi="Arial" w:cs="Arial"/>
                <w:color w:val="auto"/>
                <w:sz w:val="18"/>
                <w:szCs w:val="18"/>
              </w:rPr>
              <w:t>M</w:t>
            </w:r>
          </w:p>
        </w:tc>
        <w:tc>
          <w:tcPr>
            <w:tcW w:w="1075" w:type="dxa"/>
          </w:tcPr>
          <w:p w14:paraId="62C7CC11" w14:textId="6C271C87" w:rsidR="009662A7" w:rsidRPr="00DE21B8" w:rsidRDefault="00ED1844" w:rsidP="009662A7">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color w:val="000000"/>
                <w:sz w:val="18"/>
                <w:szCs w:val="18"/>
              </w:rPr>
              <w:t>+0.2</w:t>
            </w:r>
            <w:r w:rsidR="009662A7" w:rsidRPr="00A66F23">
              <w:rPr>
                <w:rFonts w:ascii="Arial" w:hAnsi="Arial" w:cs="Arial"/>
                <w:color w:val="000000"/>
                <w:sz w:val="18"/>
                <w:szCs w:val="18"/>
              </w:rPr>
              <w:t>%</w:t>
            </w:r>
          </w:p>
        </w:tc>
        <w:tc>
          <w:tcPr>
            <w:tcW w:w="1332" w:type="dxa"/>
            <w:tcBorders>
              <w:right w:val="single" w:sz="4" w:space="0" w:color="auto"/>
            </w:tcBorders>
          </w:tcPr>
          <w:p w14:paraId="25EC889C" w14:textId="4C09F596" w:rsidR="009662A7" w:rsidRPr="004F6785" w:rsidRDefault="00ED1844" w:rsidP="009662A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color w:val="000000"/>
                <w:sz w:val="18"/>
                <w:szCs w:val="18"/>
              </w:rPr>
              <w:t>+0.8</w:t>
            </w:r>
            <w:r w:rsidR="009662A7" w:rsidRPr="00A66F23">
              <w:rPr>
                <w:rFonts w:ascii="Arial" w:hAnsi="Arial" w:cs="Arial"/>
                <w:color w:val="000000"/>
                <w:sz w:val="18"/>
                <w:szCs w:val="18"/>
              </w:rPr>
              <w:t>%</w:t>
            </w:r>
          </w:p>
        </w:tc>
        <w:tc>
          <w:tcPr>
            <w:tcW w:w="1733" w:type="dxa"/>
            <w:tcBorders>
              <w:left w:val="single" w:sz="4" w:space="0" w:color="auto"/>
            </w:tcBorders>
            <w:vAlign w:val="center"/>
          </w:tcPr>
          <w:p w14:paraId="7E4199BE" w14:textId="77777777" w:rsidR="009662A7" w:rsidRPr="00FF78BB" w:rsidRDefault="009662A7" w:rsidP="009662A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F78BB">
              <w:rPr>
                <w:rFonts w:ascii="Arial" w:hAnsi="Arial" w:cs="Arial"/>
                <w:sz w:val="18"/>
                <w:szCs w:val="18"/>
              </w:rPr>
              <w:t>Prepared meats</w:t>
            </w:r>
          </w:p>
        </w:tc>
        <w:tc>
          <w:tcPr>
            <w:tcW w:w="934" w:type="dxa"/>
          </w:tcPr>
          <w:p w14:paraId="35B3FC65" w14:textId="3F2A5CB6" w:rsidR="009662A7" w:rsidRPr="00FF78BB" w:rsidRDefault="009662A7" w:rsidP="009662A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B5B8E">
              <w:rPr>
                <w:rFonts w:ascii="Arial" w:hAnsi="Arial" w:cs="Arial"/>
                <w:sz w:val="18"/>
                <w:szCs w:val="18"/>
              </w:rPr>
              <w:t>$</w:t>
            </w:r>
            <w:r w:rsidR="00ED1844">
              <w:rPr>
                <w:rFonts w:ascii="Arial" w:hAnsi="Arial" w:cs="Arial"/>
                <w:sz w:val="18"/>
                <w:szCs w:val="18"/>
              </w:rPr>
              <w:t>6.5</w:t>
            </w:r>
            <w:r w:rsidRPr="00EB5B8E">
              <w:rPr>
                <w:rFonts w:ascii="Arial" w:hAnsi="Arial" w:cs="Arial"/>
                <w:sz w:val="18"/>
                <w:szCs w:val="18"/>
              </w:rPr>
              <w:t>B</w:t>
            </w:r>
          </w:p>
        </w:tc>
        <w:tc>
          <w:tcPr>
            <w:tcW w:w="1332" w:type="dxa"/>
          </w:tcPr>
          <w:p w14:paraId="54E67798" w14:textId="4F169E1D" w:rsidR="009662A7" w:rsidRPr="00E85BEE" w:rsidRDefault="009662A7" w:rsidP="009662A7">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5E0760">
              <w:rPr>
                <w:rFonts w:ascii="Arial" w:hAnsi="Arial" w:cs="Arial"/>
                <w:color w:val="000000"/>
                <w:sz w:val="18"/>
                <w:szCs w:val="18"/>
              </w:rPr>
              <w:t>+</w:t>
            </w:r>
            <w:r w:rsidR="00ED1844">
              <w:rPr>
                <w:rFonts w:ascii="Arial" w:hAnsi="Arial" w:cs="Arial"/>
                <w:color w:val="000000"/>
                <w:sz w:val="18"/>
                <w:szCs w:val="18"/>
              </w:rPr>
              <w:t>1.3</w:t>
            </w:r>
            <w:r w:rsidRPr="005E0760">
              <w:rPr>
                <w:rFonts w:ascii="Arial" w:hAnsi="Arial" w:cs="Arial"/>
                <w:color w:val="000000"/>
                <w:sz w:val="18"/>
                <w:szCs w:val="18"/>
              </w:rPr>
              <w:t>%</w:t>
            </w:r>
          </w:p>
        </w:tc>
        <w:tc>
          <w:tcPr>
            <w:tcW w:w="1337" w:type="dxa"/>
          </w:tcPr>
          <w:p w14:paraId="2886F84F" w14:textId="3CA289CC" w:rsidR="009662A7" w:rsidRPr="00E85BEE" w:rsidRDefault="009662A7" w:rsidP="009662A7">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5E0760">
              <w:rPr>
                <w:rFonts w:ascii="Arial" w:hAnsi="Arial" w:cs="Arial"/>
                <w:color w:val="000000"/>
                <w:sz w:val="18"/>
                <w:szCs w:val="18"/>
              </w:rPr>
              <w:t>+</w:t>
            </w:r>
            <w:r w:rsidR="001938B6">
              <w:rPr>
                <w:rFonts w:ascii="Arial" w:hAnsi="Arial" w:cs="Arial"/>
                <w:color w:val="000000"/>
                <w:sz w:val="18"/>
                <w:szCs w:val="18"/>
              </w:rPr>
              <w:t>2.1</w:t>
            </w:r>
            <w:r w:rsidRPr="005E0760">
              <w:rPr>
                <w:rFonts w:ascii="Arial" w:hAnsi="Arial" w:cs="Arial"/>
                <w:color w:val="000000"/>
                <w:sz w:val="18"/>
                <w:szCs w:val="18"/>
              </w:rPr>
              <w:t>%</w:t>
            </w:r>
          </w:p>
        </w:tc>
      </w:tr>
      <w:tr w:rsidR="009662A7" w:rsidRPr="004C4D23" w14:paraId="21F47DB6" w14:textId="77777777" w:rsidTr="00E12A4D">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07" w:type="dxa"/>
            <w:vAlign w:val="center"/>
          </w:tcPr>
          <w:p w14:paraId="1811586F" w14:textId="398BA0C4" w:rsidR="009662A7" w:rsidRPr="00FF78BB" w:rsidRDefault="009662A7" w:rsidP="009662A7">
            <w:pPr>
              <w:pStyle w:val="NoSpacing"/>
              <w:rPr>
                <w:rFonts w:ascii="Arial" w:hAnsi="Arial" w:cs="Arial"/>
                <w:b w:val="0"/>
                <w:bCs w:val="0"/>
                <w:sz w:val="18"/>
                <w:szCs w:val="18"/>
              </w:rPr>
            </w:pPr>
            <w:r w:rsidRPr="00FF78BB">
              <w:rPr>
                <w:rFonts w:ascii="Arial" w:hAnsi="Arial" w:cs="Arial"/>
                <w:b w:val="0"/>
                <w:bCs w:val="0"/>
                <w:sz w:val="18"/>
                <w:szCs w:val="18"/>
              </w:rPr>
              <w:t>Sandwiches</w:t>
            </w:r>
          </w:p>
        </w:tc>
        <w:tc>
          <w:tcPr>
            <w:tcW w:w="990" w:type="dxa"/>
            <w:gridSpan w:val="2"/>
          </w:tcPr>
          <w:p w14:paraId="6C7A5C55" w14:textId="7F17CD88" w:rsidR="009662A7" w:rsidRPr="00FF78BB" w:rsidRDefault="009662A7" w:rsidP="009662A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F4B83">
              <w:rPr>
                <w:rFonts w:ascii="Arial" w:hAnsi="Arial" w:cs="Arial"/>
                <w:color w:val="auto"/>
                <w:sz w:val="18"/>
                <w:szCs w:val="18"/>
              </w:rPr>
              <w:t>$</w:t>
            </w:r>
            <w:r w:rsidR="00ED1844">
              <w:rPr>
                <w:rFonts w:ascii="Arial" w:hAnsi="Arial" w:cs="Arial"/>
                <w:color w:val="auto"/>
                <w:sz w:val="18"/>
                <w:szCs w:val="18"/>
              </w:rPr>
              <w:t>302</w:t>
            </w:r>
            <w:r w:rsidRPr="000F4B83">
              <w:rPr>
                <w:rFonts w:ascii="Arial" w:hAnsi="Arial" w:cs="Arial"/>
                <w:color w:val="auto"/>
                <w:sz w:val="18"/>
                <w:szCs w:val="18"/>
              </w:rPr>
              <w:t>M</w:t>
            </w:r>
          </w:p>
        </w:tc>
        <w:tc>
          <w:tcPr>
            <w:tcW w:w="1075" w:type="dxa"/>
          </w:tcPr>
          <w:p w14:paraId="2D352A0F" w14:textId="543A08A6" w:rsidR="009662A7" w:rsidRPr="00DE21B8" w:rsidRDefault="009662A7" w:rsidP="009662A7">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1C28BE">
              <w:rPr>
                <w:rFonts w:ascii="Arial" w:hAnsi="Arial" w:cs="Arial"/>
                <w:color w:val="000000"/>
                <w:sz w:val="18"/>
                <w:szCs w:val="18"/>
              </w:rPr>
              <w:t>+</w:t>
            </w:r>
            <w:r w:rsidR="00ED1844">
              <w:rPr>
                <w:rFonts w:ascii="Arial" w:hAnsi="Arial" w:cs="Arial"/>
                <w:color w:val="000000"/>
                <w:sz w:val="18"/>
                <w:szCs w:val="18"/>
              </w:rPr>
              <w:t>2.2</w:t>
            </w:r>
            <w:r w:rsidRPr="001C28BE">
              <w:rPr>
                <w:rFonts w:ascii="Arial" w:hAnsi="Arial" w:cs="Arial"/>
                <w:color w:val="000000"/>
                <w:sz w:val="18"/>
                <w:szCs w:val="18"/>
              </w:rPr>
              <w:t>%</w:t>
            </w:r>
          </w:p>
        </w:tc>
        <w:tc>
          <w:tcPr>
            <w:tcW w:w="1332" w:type="dxa"/>
            <w:tcBorders>
              <w:right w:val="single" w:sz="4" w:space="0" w:color="auto"/>
            </w:tcBorders>
          </w:tcPr>
          <w:p w14:paraId="6B9B3A9E" w14:textId="005CD930" w:rsidR="009662A7" w:rsidRPr="004F6785" w:rsidRDefault="009662A7" w:rsidP="009662A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28BE">
              <w:rPr>
                <w:rFonts w:ascii="Arial" w:hAnsi="Arial" w:cs="Arial"/>
                <w:color w:val="000000"/>
                <w:sz w:val="18"/>
                <w:szCs w:val="18"/>
              </w:rPr>
              <w:t>+</w:t>
            </w:r>
            <w:r w:rsidR="00ED1844">
              <w:rPr>
                <w:rFonts w:ascii="Arial" w:hAnsi="Arial" w:cs="Arial"/>
                <w:color w:val="000000"/>
                <w:sz w:val="18"/>
                <w:szCs w:val="18"/>
              </w:rPr>
              <w:t>9.2</w:t>
            </w:r>
            <w:r w:rsidRPr="001C28BE">
              <w:rPr>
                <w:rFonts w:ascii="Arial" w:hAnsi="Arial" w:cs="Arial"/>
                <w:color w:val="000000"/>
                <w:sz w:val="18"/>
                <w:szCs w:val="18"/>
              </w:rPr>
              <w:t>%</w:t>
            </w:r>
          </w:p>
        </w:tc>
        <w:tc>
          <w:tcPr>
            <w:tcW w:w="1733" w:type="dxa"/>
            <w:tcBorders>
              <w:left w:val="single" w:sz="4" w:space="0" w:color="auto"/>
            </w:tcBorders>
            <w:vAlign w:val="center"/>
          </w:tcPr>
          <w:p w14:paraId="3D24AFF1" w14:textId="1C0BA545" w:rsidR="009662A7" w:rsidRPr="0015097D" w:rsidRDefault="009662A7" w:rsidP="009662A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5097D">
              <w:rPr>
                <w:rFonts w:ascii="Arial" w:hAnsi="Arial" w:cs="Arial"/>
                <w:bCs/>
                <w:sz w:val="18"/>
                <w:szCs w:val="18"/>
              </w:rPr>
              <w:t>Sandwiches</w:t>
            </w:r>
          </w:p>
        </w:tc>
        <w:tc>
          <w:tcPr>
            <w:tcW w:w="934" w:type="dxa"/>
          </w:tcPr>
          <w:p w14:paraId="437E83CC" w14:textId="0A3B309F" w:rsidR="009662A7" w:rsidRPr="00FF78BB" w:rsidRDefault="009662A7" w:rsidP="009662A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B5B8E">
              <w:rPr>
                <w:rFonts w:ascii="Arial" w:hAnsi="Arial" w:cs="Arial"/>
                <w:sz w:val="18"/>
                <w:szCs w:val="18"/>
              </w:rPr>
              <w:t>$</w:t>
            </w:r>
            <w:r w:rsidR="00ED1844">
              <w:rPr>
                <w:rFonts w:ascii="Arial" w:hAnsi="Arial" w:cs="Arial"/>
                <w:sz w:val="18"/>
                <w:szCs w:val="18"/>
              </w:rPr>
              <w:t>3.9</w:t>
            </w:r>
            <w:r w:rsidRPr="00EB5B8E">
              <w:rPr>
                <w:rFonts w:ascii="Arial" w:hAnsi="Arial" w:cs="Arial"/>
                <w:sz w:val="18"/>
                <w:szCs w:val="18"/>
              </w:rPr>
              <w:t>B</w:t>
            </w:r>
          </w:p>
        </w:tc>
        <w:tc>
          <w:tcPr>
            <w:tcW w:w="1332" w:type="dxa"/>
          </w:tcPr>
          <w:p w14:paraId="6792FB61" w14:textId="69C961A9" w:rsidR="009662A7" w:rsidRPr="00E85BEE" w:rsidRDefault="009662A7" w:rsidP="009662A7">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5E0760">
              <w:rPr>
                <w:rFonts w:ascii="Arial" w:hAnsi="Arial" w:cs="Arial"/>
                <w:color w:val="000000"/>
                <w:sz w:val="18"/>
                <w:szCs w:val="18"/>
              </w:rPr>
              <w:t>+</w:t>
            </w:r>
            <w:r w:rsidR="00ED1844">
              <w:rPr>
                <w:rFonts w:ascii="Arial" w:hAnsi="Arial" w:cs="Arial"/>
                <w:color w:val="000000"/>
                <w:sz w:val="18"/>
                <w:szCs w:val="18"/>
              </w:rPr>
              <w:t>2.6</w:t>
            </w:r>
            <w:r w:rsidRPr="005E0760">
              <w:rPr>
                <w:rFonts w:ascii="Arial" w:hAnsi="Arial" w:cs="Arial"/>
                <w:color w:val="000000"/>
                <w:sz w:val="18"/>
                <w:szCs w:val="18"/>
              </w:rPr>
              <w:t>%</w:t>
            </w:r>
          </w:p>
        </w:tc>
        <w:tc>
          <w:tcPr>
            <w:tcW w:w="1337" w:type="dxa"/>
          </w:tcPr>
          <w:p w14:paraId="0CC2A304" w14:textId="06289259" w:rsidR="009662A7" w:rsidRPr="00E85BEE" w:rsidRDefault="009662A7" w:rsidP="009662A7">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5E0760">
              <w:rPr>
                <w:rFonts w:ascii="Arial" w:hAnsi="Arial" w:cs="Arial"/>
                <w:color w:val="000000"/>
                <w:sz w:val="18"/>
                <w:szCs w:val="18"/>
              </w:rPr>
              <w:t>+</w:t>
            </w:r>
            <w:r w:rsidR="001938B6">
              <w:rPr>
                <w:rFonts w:ascii="Arial" w:hAnsi="Arial" w:cs="Arial"/>
                <w:color w:val="000000"/>
                <w:sz w:val="18"/>
                <w:szCs w:val="18"/>
              </w:rPr>
              <w:t>7.9</w:t>
            </w:r>
            <w:r w:rsidRPr="005E0760">
              <w:rPr>
                <w:rFonts w:ascii="Arial" w:hAnsi="Arial" w:cs="Arial"/>
                <w:color w:val="000000"/>
                <w:sz w:val="18"/>
                <w:szCs w:val="18"/>
              </w:rPr>
              <w:t>%</w:t>
            </w:r>
          </w:p>
        </w:tc>
      </w:tr>
      <w:tr w:rsidR="009662A7" w:rsidRPr="004C4D23" w14:paraId="48DE7814" w14:textId="77777777" w:rsidTr="00D61B0F">
        <w:trPr>
          <w:trHeight w:val="257"/>
        </w:trPr>
        <w:tc>
          <w:tcPr>
            <w:cnfStyle w:val="001000000000" w:firstRow="0" w:lastRow="0" w:firstColumn="1" w:lastColumn="0" w:oddVBand="0" w:evenVBand="0" w:oddHBand="0" w:evenHBand="0" w:firstRowFirstColumn="0" w:firstRowLastColumn="0" w:lastRowFirstColumn="0" w:lastRowLastColumn="0"/>
            <w:tcW w:w="1707" w:type="dxa"/>
            <w:vAlign w:val="center"/>
          </w:tcPr>
          <w:p w14:paraId="3B877DDE" w14:textId="0A1C8F94" w:rsidR="009662A7" w:rsidRPr="00FF78BB" w:rsidRDefault="009662A7" w:rsidP="009662A7">
            <w:pPr>
              <w:pStyle w:val="NoSpacing"/>
              <w:rPr>
                <w:rFonts w:ascii="Arial" w:hAnsi="Arial" w:cs="Arial"/>
                <w:b w:val="0"/>
                <w:bCs w:val="0"/>
                <w:sz w:val="18"/>
                <w:szCs w:val="18"/>
              </w:rPr>
            </w:pPr>
            <w:r>
              <w:rPr>
                <w:rFonts w:ascii="Arial" w:hAnsi="Arial" w:cs="Arial"/>
                <w:b w:val="0"/>
                <w:bCs w:val="0"/>
                <w:sz w:val="18"/>
                <w:szCs w:val="18"/>
              </w:rPr>
              <w:t>Salads</w:t>
            </w:r>
          </w:p>
        </w:tc>
        <w:tc>
          <w:tcPr>
            <w:tcW w:w="990" w:type="dxa"/>
            <w:gridSpan w:val="2"/>
          </w:tcPr>
          <w:p w14:paraId="57F483D1" w14:textId="6F45E721" w:rsidR="009662A7" w:rsidRPr="00FF78BB" w:rsidRDefault="009662A7" w:rsidP="009662A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F4B83">
              <w:rPr>
                <w:rFonts w:ascii="Arial" w:hAnsi="Arial" w:cs="Arial"/>
                <w:color w:val="auto"/>
                <w:sz w:val="18"/>
                <w:szCs w:val="18"/>
              </w:rPr>
              <w:t>$</w:t>
            </w:r>
            <w:r w:rsidR="00ED1844">
              <w:rPr>
                <w:rFonts w:ascii="Arial" w:hAnsi="Arial" w:cs="Arial"/>
                <w:color w:val="auto"/>
                <w:sz w:val="18"/>
                <w:szCs w:val="18"/>
              </w:rPr>
              <w:t>275</w:t>
            </w:r>
            <w:r w:rsidRPr="000F4B83">
              <w:rPr>
                <w:rFonts w:ascii="Arial" w:hAnsi="Arial" w:cs="Arial"/>
                <w:color w:val="auto"/>
                <w:sz w:val="18"/>
                <w:szCs w:val="18"/>
              </w:rPr>
              <w:t>M</w:t>
            </w:r>
          </w:p>
        </w:tc>
        <w:tc>
          <w:tcPr>
            <w:tcW w:w="1075" w:type="dxa"/>
          </w:tcPr>
          <w:p w14:paraId="5A71BE6B" w14:textId="2E2FC127" w:rsidR="009662A7" w:rsidRPr="004F6785" w:rsidRDefault="009662A7" w:rsidP="009662A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C28BE">
              <w:rPr>
                <w:rFonts w:ascii="Arial" w:hAnsi="Arial" w:cs="Arial"/>
                <w:color w:val="000000"/>
                <w:sz w:val="18"/>
                <w:szCs w:val="18"/>
              </w:rPr>
              <w:t>+</w:t>
            </w:r>
            <w:r w:rsidR="00ED1844">
              <w:rPr>
                <w:rFonts w:ascii="Arial" w:hAnsi="Arial" w:cs="Arial"/>
                <w:color w:val="000000"/>
                <w:sz w:val="18"/>
                <w:szCs w:val="18"/>
              </w:rPr>
              <w:t>2.4</w:t>
            </w:r>
            <w:r w:rsidRPr="001C28BE">
              <w:rPr>
                <w:rFonts w:ascii="Arial" w:hAnsi="Arial" w:cs="Arial"/>
                <w:color w:val="000000"/>
                <w:sz w:val="18"/>
                <w:szCs w:val="18"/>
              </w:rPr>
              <w:t>%</w:t>
            </w:r>
          </w:p>
        </w:tc>
        <w:tc>
          <w:tcPr>
            <w:tcW w:w="1332" w:type="dxa"/>
            <w:tcBorders>
              <w:right w:val="single" w:sz="4" w:space="0" w:color="auto"/>
            </w:tcBorders>
          </w:tcPr>
          <w:p w14:paraId="58A2F260" w14:textId="2AAA62BF" w:rsidR="009662A7" w:rsidRPr="004F6785" w:rsidRDefault="009662A7" w:rsidP="009662A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C28BE">
              <w:rPr>
                <w:rFonts w:ascii="Arial" w:hAnsi="Arial" w:cs="Arial"/>
                <w:color w:val="000000"/>
                <w:sz w:val="18"/>
                <w:szCs w:val="18"/>
              </w:rPr>
              <w:t>+</w:t>
            </w:r>
            <w:r w:rsidR="00ED1844">
              <w:rPr>
                <w:rFonts w:ascii="Arial" w:hAnsi="Arial" w:cs="Arial"/>
                <w:color w:val="000000"/>
                <w:sz w:val="18"/>
                <w:szCs w:val="18"/>
              </w:rPr>
              <w:t>2.8</w:t>
            </w:r>
            <w:r w:rsidRPr="001C28BE">
              <w:rPr>
                <w:rFonts w:ascii="Arial" w:hAnsi="Arial" w:cs="Arial"/>
                <w:color w:val="000000"/>
                <w:sz w:val="18"/>
                <w:szCs w:val="18"/>
              </w:rPr>
              <w:t>%</w:t>
            </w:r>
          </w:p>
        </w:tc>
        <w:tc>
          <w:tcPr>
            <w:tcW w:w="1733" w:type="dxa"/>
            <w:tcBorders>
              <w:left w:val="single" w:sz="4" w:space="0" w:color="auto"/>
            </w:tcBorders>
            <w:vAlign w:val="center"/>
          </w:tcPr>
          <w:p w14:paraId="7E392F1A" w14:textId="1BABFEB9" w:rsidR="009662A7" w:rsidRPr="0015097D" w:rsidRDefault="009662A7" w:rsidP="009662A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5097D">
              <w:rPr>
                <w:rFonts w:ascii="Arial" w:hAnsi="Arial" w:cs="Arial"/>
                <w:bCs/>
                <w:sz w:val="18"/>
                <w:szCs w:val="18"/>
              </w:rPr>
              <w:t>Salads</w:t>
            </w:r>
          </w:p>
        </w:tc>
        <w:tc>
          <w:tcPr>
            <w:tcW w:w="934" w:type="dxa"/>
          </w:tcPr>
          <w:p w14:paraId="72D0FDAA" w14:textId="3360967E" w:rsidR="009662A7" w:rsidRPr="00FF78BB" w:rsidRDefault="009662A7" w:rsidP="009662A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B5B8E">
              <w:rPr>
                <w:rFonts w:ascii="Arial" w:hAnsi="Arial" w:cs="Arial"/>
                <w:sz w:val="18"/>
                <w:szCs w:val="18"/>
              </w:rPr>
              <w:t>$</w:t>
            </w:r>
            <w:r w:rsidR="00ED1844">
              <w:rPr>
                <w:rFonts w:ascii="Arial" w:hAnsi="Arial" w:cs="Arial"/>
                <w:sz w:val="18"/>
                <w:szCs w:val="18"/>
              </w:rPr>
              <w:t>3.8</w:t>
            </w:r>
            <w:r w:rsidRPr="00EB5B8E">
              <w:rPr>
                <w:rFonts w:ascii="Arial" w:hAnsi="Arial" w:cs="Arial"/>
                <w:sz w:val="18"/>
                <w:szCs w:val="18"/>
              </w:rPr>
              <w:t>B</w:t>
            </w:r>
          </w:p>
        </w:tc>
        <w:tc>
          <w:tcPr>
            <w:tcW w:w="1332" w:type="dxa"/>
          </w:tcPr>
          <w:p w14:paraId="56A06176" w14:textId="6E03F40C" w:rsidR="009662A7" w:rsidRPr="00E85BEE" w:rsidRDefault="009662A7" w:rsidP="009662A7">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5E0760">
              <w:rPr>
                <w:rFonts w:ascii="Arial" w:hAnsi="Arial" w:cs="Arial"/>
                <w:color w:val="000000"/>
                <w:sz w:val="18"/>
                <w:szCs w:val="18"/>
              </w:rPr>
              <w:t>+</w:t>
            </w:r>
            <w:r w:rsidR="00ED1844">
              <w:rPr>
                <w:rFonts w:ascii="Arial" w:hAnsi="Arial" w:cs="Arial"/>
                <w:color w:val="000000"/>
                <w:sz w:val="18"/>
                <w:szCs w:val="18"/>
              </w:rPr>
              <w:t>2.3</w:t>
            </w:r>
            <w:r w:rsidRPr="005E0760">
              <w:rPr>
                <w:rFonts w:ascii="Arial" w:hAnsi="Arial" w:cs="Arial"/>
                <w:color w:val="000000"/>
                <w:sz w:val="18"/>
                <w:szCs w:val="18"/>
              </w:rPr>
              <w:t>%</w:t>
            </w:r>
          </w:p>
        </w:tc>
        <w:tc>
          <w:tcPr>
            <w:tcW w:w="1337" w:type="dxa"/>
          </w:tcPr>
          <w:p w14:paraId="61C7CBB3" w14:textId="2E82F6B7" w:rsidR="009662A7" w:rsidRPr="00E85BEE" w:rsidRDefault="009662A7" w:rsidP="009662A7">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5E0760">
              <w:rPr>
                <w:rFonts w:ascii="Arial" w:hAnsi="Arial" w:cs="Arial"/>
                <w:color w:val="000000"/>
                <w:sz w:val="18"/>
                <w:szCs w:val="18"/>
              </w:rPr>
              <w:t>+</w:t>
            </w:r>
            <w:r w:rsidR="001938B6">
              <w:rPr>
                <w:rFonts w:ascii="Arial" w:hAnsi="Arial" w:cs="Arial"/>
                <w:color w:val="000000"/>
                <w:sz w:val="18"/>
                <w:szCs w:val="18"/>
              </w:rPr>
              <w:t>0.1</w:t>
            </w:r>
            <w:r w:rsidRPr="005E0760">
              <w:rPr>
                <w:rFonts w:ascii="Arial" w:hAnsi="Arial" w:cs="Arial"/>
                <w:color w:val="000000"/>
                <w:sz w:val="18"/>
                <w:szCs w:val="18"/>
              </w:rPr>
              <w:t>%</w:t>
            </w:r>
          </w:p>
        </w:tc>
      </w:tr>
      <w:tr w:rsidR="009662A7" w:rsidRPr="004C4D23" w14:paraId="11705541" w14:textId="77777777" w:rsidTr="000D7CB9">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07" w:type="dxa"/>
            <w:vAlign w:val="center"/>
          </w:tcPr>
          <w:p w14:paraId="7FC390DE" w14:textId="77777777" w:rsidR="009662A7" w:rsidRPr="0015097D" w:rsidRDefault="009662A7" w:rsidP="009662A7">
            <w:pPr>
              <w:pStyle w:val="NoSpacing"/>
              <w:rPr>
                <w:rFonts w:ascii="Arial" w:hAnsi="Arial" w:cs="Arial"/>
                <w:b w:val="0"/>
                <w:bCs w:val="0"/>
                <w:sz w:val="18"/>
                <w:szCs w:val="18"/>
              </w:rPr>
            </w:pPr>
            <w:r w:rsidRPr="0015097D">
              <w:rPr>
                <w:rFonts w:ascii="Arial" w:hAnsi="Arial" w:cs="Arial"/>
                <w:b w:val="0"/>
                <w:sz w:val="18"/>
                <w:szCs w:val="18"/>
              </w:rPr>
              <w:t>Appetizers</w:t>
            </w:r>
          </w:p>
        </w:tc>
        <w:tc>
          <w:tcPr>
            <w:tcW w:w="990" w:type="dxa"/>
            <w:gridSpan w:val="2"/>
          </w:tcPr>
          <w:p w14:paraId="0C997F80" w14:textId="74EE81B7" w:rsidR="009662A7" w:rsidRPr="00FF78BB" w:rsidRDefault="009662A7" w:rsidP="009662A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F4B83">
              <w:rPr>
                <w:rFonts w:ascii="Arial" w:hAnsi="Arial" w:cs="Arial"/>
                <w:color w:val="auto"/>
                <w:sz w:val="18"/>
                <w:szCs w:val="18"/>
              </w:rPr>
              <w:t>$</w:t>
            </w:r>
            <w:r w:rsidR="00ED1844">
              <w:rPr>
                <w:rFonts w:ascii="Arial" w:hAnsi="Arial" w:cs="Arial"/>
                <w:color w:val="auto"/>
                <w:sz w:val="18"/>
                <w:szCs w:val="18"/>
              </w:rPr>
              <w:t>191</w:t>
            </w:r>
            <w:r w:rsidRPr="000F4B83">
              <w:rPr>
                <w:rFonts w:ascii="Arial" w:hAnsi="Arial" w:cs="Arial"/>
                <w:color w:val="auto"/>
                <w:sz w:val="18"/>
                <w:szCs w:val="18"/>
              </w:rPr>
              <w:t>M</w:t>
            </w:r>
          </w:p>
        </w:tc>
        <w:tc>
          <w:tcPr>
            <w:tcW w:w="1075" w:type="dxa"/>
          </w:tcPr>
          <w:p w14:paraId="77BD05DF" w14:textId="3AD60236" w:rsidR="009662A7" w:rsidRPr="004F6785" w:rsidRDefault="009662A7" w:rsidP="009662A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28BE">
              <w:rPr>
                <w:rFonts w:ascii="Arial" w:hAnsi="Arial" w:cs="Arial"/>
                <w:color w:val="000000"/>
                <w:sz w:val="18"/>
                <w:szCs w:val="18"/>
              </w:rPr>
              <w:t>+</w:t>
            </w:r>
            <w:r w:rsidR="00ED1844">
              <w:rPr>
                <w:rFonts w:ascii="Arial" w:hAnsi="Arial" w:cs="Arial"/>
                <w:color w:val="000000"/>
                <w:sz w:val="18"/>
                <w:szCs w:val="18"/>
              </w:rPr>
              <w:t>6.6</w:t>
            </w:r>
            <w:r w:rsidRPr="001C28BE">
              <w:rPr>
                <w:rFonts w:ascii="Arial" w:hAnsi="Arial" w:cs="Arial"/>
                <w:color w:val="000000"/>
                <w:sz w:val="18"/>
                <w:szCs w:val="18"/>
              </w:rPr>
              <w:t>%</w:t>
            </w:r>
          </w:p>
        </w:tc>
        <w:tc>
          <w:tcPr>
            <w:tcW w:w="1332" w:type="dxa"/>
            <w:tcBorders>
              <w:right w:val="single" w:sz="4" w:space="0" w:color="auto"/>
            </w:tcBorders>
          </w:tcPr>
          <w:p w14:paraId="29973AF1" w14:textId="345EFBA1" w:rsidR="009662A7" w:rsidRPr="004F6785" w:rsidRDefault="009662A7" w:rsidP="009662A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28BE">
              <w:rPr>
                <w:rFonts w:ascii="Arial" w:hAnsi="Arial" w:cs="Arial"/>
                <w:color w:val="000000"/>
                <w:sz w:val="18"/>
                <w:szCs w:val="18"/>
              </w:rPr>
              <w:t>+</w:t>
            </w:r>
            <w:r w:rsidR="00ED1844">
              <w:rPr>
                <w:rFonts w:ascii="Arial" w:hAnsi="Arial" w:cs="Arial"/>
                <w:color w:val="000000"/>
                <w:sz w:val="18"/>
                <w:szCs w:val="18"/>
              </w:rPr>
              <w:t>4.9</w:t>
            </w:r>
            <w:r w:rsidRPr="001C28BE">
              <w:rPr>
                <w:rFonts w:ascii="Arial" w:hAnsi="Arial" w:cs="Arial"/>
                <w:color w:val="000000"/>
                <w:sz w:val="18"/>
                <w:szCs w:val="18"/>
              </w:rPr>
              <w:t>%</w:t>
            </w:r>
          </w:p>
        </w:tc>
        <w:tc>
          <w:tcPr>
            <w:tcW w:w="1733" w:type="dxa"/>
            <w:tcBorders>
              <w:left w:val="single" w:sz="4" w:space="0" w:color="auto"/>
            </w:tcBorders>
            <w:vAlign w:val="center"/>
          </w:tcPr>
          <w:p w14:paraId="29BCFE01" w14:textId="77777777" w:rsidR="009662A7" w:rsidRPr="00FF78BB" w:rsidRDefault="009662A7" w:rsidP="009662A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Appetizers</w:t>
            </w:r>
          </w:p>
        </w:tc>
        <w:tc>
          <w:tcPr>
            <w:tcW w:w="934" w:type="dxa"/>
          </w:tcPr>
          <w:p w14:paraId="526926A8" w14:textId="448E9F93" w:rsidR="009662A7" w:rsidRPr="00FF78BB" w:rsidRDefault="009662A7" w:rsidP="009662A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B5B8E">
              <w:rPr>
                <w:rFonts w:ascii="Arial" w:hAnsi="Arial" w:cs="Arial"/>
                <w:sz w:val="18"/>
                <w:szCs w:val="18"/>
              </w:rPr>
              <w:t>$</w:t>
            </w:r>
            <w:r w:rsidR="00ED1844">
              <w:rPr>
                <w:rFonts w:ascii="Arial" w:hAnsi="Arial" w:cs="Arial"/>
                <w:sz w:val="18"/>
                <w:szCs w:val="18"/>
              </w:rPr>
              <w:t>2.5</w:t>
            </w:r>
            <w:r w:rsidRPr="00EB5B8E">
              <w:rPr>
                <w:rFonts w:ascii="Arial" w:hAnsi="Arial" w:cs="Arial"/>
                <w:sz w:val="18"/>
                <w:szCs w:val="18"/>
              </w:rPr>
              <w:t>B</w:t>
            </w:r>
          </w:p>
        </w:tc>
        <w:tc>
          <w:tcPr>
            <w:tcW w:w="1332" w:type="dxa"/>
          </w:tcPr>
          <w:p w14:paraId="26FCE103" w14:textId="209482A3" w:rsidR="009662A7" w:rsidRPr="00E85BEE" w:rsidRDefault="009662A7" w:rsidP="009662A7">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5E0760">
              <w:rPr>
                <w:rFonts w:ascii="Arial" w:hAnsi="Arial" w:cs="Arial"/>
                <w:color w:val="000000"/>
                <w:sz w:val="18"/>
                <w:szCs w:val="18"/>
              </w:rPr>
              <w:t>+</w:t>
            </w:r>
            <w:r w:rsidR="00ED1844">
              <w:rPr>
                <w:rFonts w:ascii="Arial" w:hAnsi="Arial" w:cs="Arial"/>
                <w:color w:val="000000"/>
                <w:sz w:val="18"/>
                <w:szCs w:val="18"/>
              </w:rPr>
              <w:t>7.8</w:t>
            </w:r>
            <w:r w:rsidRPr="005E0760">
              <w:rPr>
                <w:rFonts w:ascii="Arial" w:hAnsi="Arial" w:cs="Arial"/>
                <w:color w:val="000000"/>
                <w:sz w:val="18"/>
                <w:szCs w:val="18"/>
              </w:rPr>
              <w:t>%</w:t>
            </w:r>
          </w:p>
        </w:tc>
        <w:tc>
          <w:tcPr>
            <w:tcW w:w="1337" w:type="dxa"/>
          </w:tcPr>
          <w:p w14:paraId="4E50EBBB" w14:textId="53282CD7" w:rsidR="009662A7" w:rsidRPr="00E85BEE" w:rsidRDefault="009662A7" w:rsidP="009662A7">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5E0760">
              <w:rPr>
                <w:rFonts w:ascii="Arial" w:hAnsi="Arial" w:cs="Arial"/>
                <w:color w:val="000000"/>
                <w:sz w:val="18"/>
                <w:szCs w:val="18"/>
              </w:rPr>
              <w:t>+</w:t>
            </w:r>
            <w:r w:rsidR="001938B6">
              <w:rPr>
                <w:rFonts w:ascii="Arial" w:hAnsi="Arial" w:cs="Arial"/>
                <w:color w:val="000000"/>
                <w:sz w:val="18"/>
                <w:szCs w:val="18"/>
              </w:rPr>
              <w:t>6.6</w:t>
            </w:r>
            <w:r w:rsidRPr="005E0760">
              <w:rPr>
                <w:rFonts w:ascii="Arial" w:hAnsi="Arial" w:cs="Arial"/>
                <w:color w:val="000000"/>
                <w:sz w:val="18"/>
                <w:szCs w:val="18"/>
              </w:rPr>
              <w:t>%</w:t>
            </w:r>
          </w:p>
        </w:tc>
      </w:tr>
      <w:tr w:rsidR="009662A7" w:rsidRPr="004C4D23" w14:paraId="08908417" w14:textId="77777777" w:rsidTr="00E12A4D">
        <w:trPr>
          <w:trHeight w:val="257"/>
        </w:trPr>
        <w:tc>
          <w:tcPr>
            <w:cnfStyle w:val="001000000000" w:firstRow="0" w:lastRow="0" w:firstColumn="1" w:lastColumn="0" w:oddVBand="0" w:evenVBand="0" w:oddHBand="0" w:evenHBand="0" w:firstRowFirstColumn="0" w:firstRowLastColumn="0" w:lastRowFirstColumn="0" w:lastRowLastColumn="0"/>
            <w:tcW w:w="1707" w:type="dxa"/>
            <w:vAlign w:val="center"/>
          </w:tcPr>
          <w:p w14:paraId="19B1803E" w14:textId="5FD08733" w:rsidR="009662A7" w:rsidRPr="0015097D" w:rsidRDefault="009662A7" w:rsidP="009662A7">
            <w:pPr>
              <w:pStyle w:val="NoSpacing"/>
              <w:rPr>
                <w:rFonts w:ascii="Arial" w:hAnsi="Arial" w:cs="Arial"/>
                <w:b w:val="0"/>
                <w:sz w:val="18"/>
                <w:szCs w:val="18"/>
              </w:rPr>
            </w:pPr>
            <w:r w:rsidRPr="0015097D">
              <w:rPr>
                <w:rFonts w:ascii="Arial" w:hAnsi="Arial" w:cs="Arial"/>
                <w:b w:val="0"/>
                <w:sz w:val="18"/>
                <w:szCs w:val="18"/>
              </w:rPr>
              <w:t>Side dishes</w:t>
            </w:r>
          </w:p>
        </w:tc>
        <w:tc>
          <w:tcPr>
            <w:tcW w:w="990" w:type="dxa"/>
            <w:gridSpan w:val="2"/>
          </w:tcPr>
          <w:p w14:paraId="4991905B" w14:textId="459F9F78" w:rsidR="009662A7" w:rsidRPr="00FF78BB" w:rsidRDefault="009662A7" w:rsidP="009662A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F4B83">
              <w:rPr>
                <w:rFonts w:ascii="Arial" w:hAnsi="Arial" w:cs="Arial"/>
                <w:color w:val="auto"/>
                <w:sz w:val="18"/>
                <w:szCs w:val="18"/>
              </w:rPr>
              <w:t>$</w:t>
            </w:r>
            <w:r w:rsidR="00ED1844">
              <w:rPr>
                <w:rFonts w:ascii="Arial" w:hAnsi="Arial" w:cs="Arial"/>
                <w:color w:val="auto"/>
                <w:sz w:val="18"/>
                <w:szCs w:val="18"/>
              </w:rPr>
              <w:t>167</w:t>
            </w:r>
            <w:r w:rsidRPr="000F4B83">
              <w:rPr>
                <w:rFonts w:ascii="Arial" w:hAnsi="Arial" w:cs="Arial"/>
                <w:color w:val="auto"/>
                <w:sz w:val="18"/>
                <w:szCs w:val="18"/>
              </w:rPr>
              <w:t>M</w:t>
            </w:r>
          </w:p>
        </w:tc>
        <w:tc>
          <w:tcPr>
            <w:tcW w:w="1075" w:type="dxa"/>
          </w:tcPr>
          <w:p w14:paraId="705BD7FC" w14:textId="5B9EBE6C" w:rsidR="009662A7" w:rsidRPr="004F6785" w:rsidRDefault="009662A7" w:rsidP="009662A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A5E69">
              <w:rPr>
                <w:rFonts w:ascii="Arial" w:hAnsi="Arial" w:cs="Arial"/>
                <w:color w:val="000000"/>
                <w:sz w:val="18"/>
                <w:szCs w:val="18"/>
              </w:rPr>
              <w:t>-</w:t>
            </w:r>
            <w:r w:rsidR="00ED1844">
              <w:rPr>
                <w:rFonts w:ascii="Arial" w:hAnsi="Arial" w:cs="Arial"/>
                <w:color w:val="000000"/>
                <w:sz w:val="18"/>
                <w:szCs w:val="18"/>
              </w:rPr>
              <w:t>1.4</w:t>
            </w:r>
            <w:r w:rsidRPr="002A5E69">
              <w:rPr>
                <w:rFonts w:ascii="Arial" w:hAnsi="Arial" w:cs="Arial"/>
                <w:color w:val="000000"/>
                <w:sz w:val="18"/>
                <w:szCs w:val="18"/>
              </w:rPr>
              <w:t>%</w:t>
            </w:r>
          </w:p>
        </w:tc>
        <w:tc>
          <w:tcPr>
            <w:tcW w:w="1332" w:type="dxa"/>
            <w:tcBorders>
              <w:right w:val="single" w:sz="4" w:space="0" w:color="auto"/>
            </w:tcBorders>
          </w:tcPr>
          <w:p w14:paraId="0E79D217" w14:textId="54BFBBAC" w:rsidR="009662A7" w:rsidRPr="004F6785" w:rsidRDefault="009662A7" w:rsidP="009662A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A5E69">
              <w:rPr>
                <w:rFonts w:ascii="Arial" w:hAnsi="Arial" w:cs="Arial"/>
                <w:color w:val="000000"/>
                <w:sz w:val="18"/>
                <w:szCs w:val="18"/>
              </w:rPr>
              <w:t>-</w:t>
            </w:r>
            <w:r w:rsidR="00ED1844">
              <w:rPr>
                <w:rFonts w:ascii="Arial" w:hAnsi="Arial" w:cs="Arial"/>
                <w:color w:val="000000"/>
                <w:sz w:val="18"/>
                <w:szCs w:val="18"/>
              </w:rPr>
              <w:t>0.5</w:t>
            </w:r>
            <w:r w:rsidRPr="002A5E69">
              <w:rPr>
                <w:rFonts w:ascii="Arial" w:hAnsi="Arial" w:cs="Arial"/>
                <w:color w:val="000000"/>
                <w:sz w:val="18"/>
                <w:szCs w:val="18"/>
              </w:rPr>
              <w:t>%</w:t>
            </w:r>
          </w:p>
        </w:tc>
        <w:tc>
          <w:tcPr>
            <w:tcW w:w="1733" w:type="dxa"/>
            <w:tcBorders>
              <w:left w:val="single" w:sz="4" w:space="0" w:color="auto"/>
            </w:tcBorders>
            <w:vAlign w:val="center"/>
          </w:tcPr>
          <w:p w14:paraId="727D736D" w14:textId="77777777" w:rsidR="009662A7" w:rsidRPr="00FF78BB" w:rsidRDefault="009662A7" w:rsidP="009662A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Side dishes</w:t>
            </w:r>
          </w:p>
        </w:tc>
        <w:tc>
          <w:tcPr>
            <w:tcW w:w="934" w:type="dxa"/>
          </w:tcPr>
          <w:p w14:paraId="51C209D8" w14:textId="273D5DB1" w:rsidR="009662A7" w:rsidRPr="00FF78BB" w:rsidRDefault="009662A7" w:rsidP="009662A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B5B8E">
              <w:rPr>
                <w:rFonts w:ascii="Arial" w:hAnsi="Arial" w:cs="Arial"/>
                <w:sz w:val="18"/>
                <w:szCs w:val="18"/>
              </w:rPr>
              <w:t>$</w:t>
            </w:r>
            <w:r w:rsidR="00ED1844">
              <w:rPr>
                <w:rFonts w:ascii="Arial" w:hAnsi="Arial" w:cs="Arial"/>
                <w:sz w:val="18"/>
                <w:szCs w:val="18"/>
              </w:rPr>
              <w:t>2.3</w:t>
            </w:r>
            <w:r w:rsidRPr="00EB5B8E">
              <w:rPr>
                <w:rFonts w:ascii="Arial" w:hAnsi="Arial" w:cs="Arial"/>
                <w:sz w:val="18"/>
                <w:szCs w:val="18"/>
              </w:rPr>
              <w:t>B</w:t>
            </w:r>
          </w:p>
        </w:tc>
        <w:tc>
          <w:tcPr>
            <w:tcW w:w="1332" w:type="dxa"/>
          </w:tcPr>
          <w:p w14:paraId="1C007704" w14:textId="1B0A0D40" w:rsidR="009662A7" w:rsidRPr="00E85BEE" w:rsidRDefault="009662A7" w:rsidP="009662A7">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5E0760">
              <w:rPr>
                <w:rFonts w:ascii="Arial" w:hAnsi="Arial" w:cs="Arial"/>
                <w:color w:val="000000"/>
                <w:sz w:val="18"/>
                <w:szCs w:val="18"/>
              </w:rPr>
              <w:t>+</w:t>
            </w:r>
            <w:r w:rsidR="00ED1844">
              <w:rPr>
                <w:rFonts w:ascii="Arial" w:hAnsi="Arial" w:cs="Arial"/>
                <w:color w:val="000000"/>
                <w:sz w:val="18"/>
                <w:szCs w:val="18"/>
              </w:rPr>
              <w:t>1.6</w:t>
            </w:r>
            <w:r w:rsidRPr="005E0760">
              <w:rPr>
                <w:rFonts w:ascii="Arial" w:hAnsi="Arial" w:cs="Arial"/>
                <w:color w:val="000000"/>
                <w:sz w:val="18"/>
                <w:szCs w:val="18"/>
              </w:rPr>
              <w:t>%</w:t>
            </w:r>
          </w:p>
        </w:tc>
        <w:tc>
          <w:tcPr>
            <w:tcW w:w="1337" w:type="dxa"/>
          </w:tcPr>
          <w:p w14:paraId="58E29C3C" w14:textId="6D480D9D" w:rsidR="009662A7" w:rsidRPr="00E85BEE" w:rsidRDefault="009662A7" w:rsidP="009662A7">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5E0760">
              <w:rPr>
                <w:rFonts w:ascii="Arial" w:hAnsi="Arial" w:cs="Arial"/>
                <w:color w:val="000000"/>
                <w:sz w:val="18"/>
                <w:szCs w:val="18"/>
              </w:rPr>
              <w:t>+</w:t>
            </w:r>
            <w:r w:rsidR="001938B6">
              <w:rPr>
                <w:rFonts w:ascii="Arial" w:hAnsi="Arial" w:cs="Arial"/>
                <w:color w:val="000000"/>
                <w:sz w:val="18"/>
                <w:szCs w:val="18"/>
              </w:rPr>
              <w:t>2.6</w:t>
            </w:r>
            <w:r w:rsidRPr="005E0760">
              <w:rPr>
                <w:rFonts w:ascii="Arial" w:hAnsi="Arial" w:cs="Arial"/>
                <w:color w:val="000000"/>
                <w:sz w:val="18"/>
                <w:szCs w:val="18"/>
              </w:rPr>
              <w:t>%</w:t>
            </w:r>
          </w:p>
        </w:tc>
      </w:tr>
      <w:tr w:rsidR="009662A7" w:rsidRPr="004C4D23" w14:paraId="2B03C3EC" w14:textId="77777777" w:rsidTr="00194459">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07" w:type="dxa"/>
            <w:vAlign w:val="center"/>
          </w:tcPr>
          <w:p w14:paraId="0B3AE72F" w14:textId="3FAEBF22" w:rsidR="009662A7" w:rsidRPr="00FF78BB" w:rsidRDefault="009662A7" w:rsidP="009662A7">
            <w:pPr>
              <w:pStyle w:val="NoSpacing"/>
              <w:rPr>
                <w:rFonts w:ascii="Arial" w:hAnsi="Arial" w:cs="Arial"/>
                <w:b w:val="0"/>
                <w:bCs w:val="0"/>
                <w:sz w:val="18"/>
                <w:szCs w:val="18"/>
              </w:rPr>
            </w:pPr>
            <w:r w:rsidRPr="00FF78BB">
              <w:rPr>
                <w:rFonts w:ascii="Arial" w:hAnsi="Arial" w:cs="Arial"/>
                <w:b w:val="0"/>
                <w:bCs w:val="0"/>
                <w:sz w:val="18"/>
                <w:szCs w:val="18"/>
              </w:rPr>
              <w:t>Soups &amp; chili</w:t>
            </w:r>
          </w:p>
        </w:tc>
        <w:tc>
          <w:tcPr>
            <w:tcW w:w="990" w:type="dxa"/>
            <w:gridSpan w:val="2"/>
          </w:tcPr>
          <w:p w14:paraId="6DC39CBC" w14:textId="2F664C15" w:rsidR="009662A7" w:rsidRPr="00FF78BB" w:rsidRDefault="009662A7" w:rsidP="009662A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F4B83">
              <w:rPr>
                <w:rFonts w:ascii="Arial" w:hAnsi="Arial" w:cs="Arial"/>
                <w:color w:val="auto"/>
                <w:sz w:val="18"/>
                <w:szCs w:val="18"/>
              </w:rPr>
              <w:t>$</w:t>
            </w:r>
            <w:r w:rsidR="00ED1844">
              <w:rPr>
                <w:rFonts w:ascii="Arial" w:hAnsi="Arial" w:cs="Arial"/>
                <w:color w:val="auto"/>
                <w:sz w:val="18"/>
                <w:szCs w:val="18"/>
              </w:rPr>
              <w:t>115</w:t>
            </w:r>
            <w:r w:rsidRPr="000F4B83">
              <w:rPr>
                <w:rFonts w:ascii="Arial" w:hAnsi="Arial" w:cs="Arial"/>
                <w:color w:val="auto"/>
                <w:sz w:val="18"/>
                <w:szCs w:val="18"/>
              </w:rPr>
              <w:t>M</w:t>
            </w:r>
          </w:p>
        </w:tc>
        <w:tc>
          <w:tcPr>
            <w:tcW w:w="1075" w:type="dxa"/>
          </w:tcPr>
          <w:p w14:paraId="0460CE03" w14:textId="414413E9" w:rsidR="009662A7" w:rsidRPr="004F6785" w:rsidRDefault="00ED1844" w:rsidP="009662A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color w:val="000000"/>
                <w:sz w:val="18"/>
                <w:szCs w:val="18"/>
              </w:rPr>
              <w:t>-3.5</w:t>
            </w:r>
            <w:r w:rsidR="009662A7" w:rsidRPr="002A5E69">
              <w:rPr>
                <w:rFonts w:ascii="Arial" w:hAnsi="Arial" w:cs="Arial"/>
                <w:color w:val="000000"/>
                <w:sz w:val="18"/>
                <w:szCs w:val="18"/>
              </w:rPr>
              <w:t>%</w:t>
            </w:r>
          </w:p>
        </w:tc>
        <w:tc>
          <w:tcPr>
            <w:tcW w:w="1332" w:type="dxa"/>
            <w:tcBorders>
              <w:right w:val="single" w:sz="4" w:space="0" w:color="auto"/>
            </w:tcBorders>
          </w:tcPr>
          <w:p w14:paraId="10CC0A5B" w14:textId="7D30401A" w:rsidR="009662A7" w:rsidRPr="004F6785" w:rsidRDefault="009662A7" w:rsidP="009662A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A5E69">
              <w:rPr>
                <w:rFonts w:ascii="Arial" w:hAnsi="Arial" w:cs="Arial"/>
                <w:color w:val="000000"/>
                <w:sz w:val="18"/>
                <w:szCs w:val="18"/>
              </w:rPr>
              <w:t>-</w:t>
            </w:r>
            <w:r w:rsidR="00ED1844">
              <w:rPr>
                <w:rFonts w:ascii="Arial" w:hAnsi="Arial" w:cs="Arial"/>
                <w:color w:val="000000"/>
                <w:sz w:val="18"/>
                <w:szCs w:val="18"/>
              </w:rPr>
              <w:t>4.1</w:t>
            </w:r>
            <w:r w:rsidRPr="002A5E69">
              <w:rPr>
                <w:rFonts w:ascii="Arial" w:hAnsi="Arial" w:cs="Arial"/>
                <w:color w:val="000000"/>
                <w:sz w:val="18"/>
                <w:szCs w:val="18"/>
              </w:rPr>
              <w:t>%</w:t>
            </w:r>
          </w:p>
        </w:tc>
        <w:tc>
          <w:tcPr>
            <w:tcW w:w="1733" w:type="dxa"/>
            <w:tcBorders>
              <w:left w:val="single" w:sz="4" w:space="0" w:color="auto"/>
            </w:tcBorders>
            <w:vAlign w:val="center"/>
          </w:tcPr>
          <w:p w14:paraId="7EB6008C" w14:textId="73F8E1C2" w:rsidR="009662A7" w:rsidRPr="00FF78BB" w:rsidRDefault="009662A7" w:rsidP="009662A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Soups &amp; chili</w:t>
            </w:r>
          </w:p>
        </w:tc>
        <w:tc>
          <w:tcPr>
            <w:tcW w:w="934" w:type="dxa"/>
          </w:tcPr>
          <w:p w14:paraId="2740039B" w14:textId="39FA87CA" w:rsidR="009662A7" w:rsidRPr="00FF78BB" w:rsidRDefault="009662A7" w:rsidP="009662A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B5B8E">
              <w:rPr>
                <w:rFonts w:ascii="Arial" w:hAnsi="Arial" w:cs="Arial"/>
                <w:sz w:val="18"/>
                <w:szCs w:val="18"/>
              </w:rPr>
              <w:t>$</w:t>
            </w:r>
            <w:r w:rsidR="00ED1844">
              <w:rPr>
                <w:rFonts w:ascii="Arial" w:hAnsi="Arial" w:cs="Arial"/>
                <w:sz w:val="18"/>
                <w:szCs w:val="18"/>
              </w:rPr>
              <w:t>1.5</w:t>
            </w:r>
            <w:r w:rsidRPr="00EB5B8E">
              <w:rPr>
                <w:rFonts w:ascii="Arial" w:hAnsi="Arial" w:cs="Arial"/>
                <w:sz w:val="18"/>
                <w:szCs w:val="18"/>
              </w:rPr>
              <w:t>B</w:t>
            </w:r>
          </w:p>
        </w:tc>
        <w:tc>
          <w:tcPr>
            <w:tcW w:w="1332" w:type="dxa"/>
          </w:tcPr>
          <w:p w14:paraId="5DD717D1" w14:textId="5B28B5DA" w:rsidR="009662A7" w:rsidRPr="00E85BEE" w:rsidRDefault="009662A7" w:rsidP="009662A7">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5E0760">
              <w:rPr>
                <w:rFonts w:ascii="Arial" w:hAnsi="Arial" w:cs="Arial"/>
                <w:color w:val="000000"/>
                <w:sz w:val="18"/>
                <w:szCs w:val="18"/>
              </w:rPr>
              <w:t>+</w:t>
            </w:r>
            <w:r w:rsidR="00ED1844">
              <w:rPr>
                <w:rFonts w:ascii="Arial" w:hAnsi="Arial" w:cs="Arial"/>
                <w:color w:val="000000"/>
                <w:sz w:val="18"/>
                <w:szCs w:val="18"/>
              </w:rPr>
              <w:t>5.2</w:t>
            </w:r>
            <w:r w:rsidRPr="005E0760">
              <w:rPr>
                <w:rFonts w:ascii="Arial" w:hAnsi="Arial" w:cs="Arial"/>
                <w:color w:val="000000"/>
                <w:sz w:val="18"/>
                <w:szCs w:val="18"/>
              </w:rPr>
              <w:t>%</w:t>
            </w:r>
          </w:p>
        </w:tc>
        <w:tc>
          <w:tcPr>
            <w:tcW w:w="1337" w:type="dxa"/>
          </w:tcPr>
          <w:p w14:paraId="1FB983D8" w14:textId="2F654A78" w:rsidR="009662A7" w:rsidRPr="00E85BEE" w:rsidRDefault="009662A7" w:rsidP="009662A7">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5E0760">
              <w:rPr>
                <w:rFonts w:ascii="Arial" w:hAnsi="Arial" w:cs="Arial"/>
                <w:color w:val="000000"/>
                <w:sz w:val="18"/>
                <w:szCs w:val="18"/>
              </w:rPr>
              <w:t>+</w:t>
            </w:r>
            <w:r w:rsidR="001938B6">
              <w:rPr>
                <w:rFonts w:ascii="Arial" w:hAnsi="Arial" w:cs="Arial"/>
                <w:color w:val="000000"/>
                <w:sz w:val="18"/>
                <w:szCs w:val="18"/>
              </w:rPr>
              <w:t>2.6</w:t>
            </w:r>
            <w:r w:rsidRPr="005E0760">
              <w:rPr>
                <w:rFonts w:ascii="Arial" w:hAnsi="Arial" w:cs="Arial"/>
                <w:color w:val="000000"/>
                <w:sz w:val="18"/>
                <w:szCs w:val="18"/>
              </w:rPr>
              <w:t>%</w:t>
            </w:r>
          </w:p>
        </w:tc>
      </w:tr>
      <w:tr w:rsidR="009662A7" w:rsidRPr="004C4D23" w14:paraId="31BBA1B7" w14:textId="77777777" w:rsidTr="007F6CEB">
        <w:trPr>
          <w:trHeight w:val="257"/>
        </w:trPr>
        <w:tc>
          <w:tcPr>
            <w:cnfStyle w:val="001000000000" w:firstRow="0" w:lastRow="0" w:firstColumn="1" w:lastColumn="0" w:oddVBand="0" w:evenVBand="0" w:oddHBand="0" w:evenHBand="0" w:firstRowFirstColumn="0" w:firstRowLastColumn="0" w:lastRowFirstColumn="0" w:lastRowLastColumn="0"/>
            <w:tcW w:w="1707" w:type="dxa"/>
            <w:vAlign w:val="center"/>
          </w:tcPr>
          <w:p w14:paraId="292567EF" w14:textId="328D29E9" w:rsidR="009662A7" w:rsidRPr="009C7CE8" w:rsidRDefault="009662A7" w:rsidP="009662A7">
            <w:pPr>
              <w:pStyle w:val="NoSpacing"/>
              <w:rPr>
                <w:rFonts w:ascii="Arial" w:hAnsi="Arial" w:cs="Arial"/>
                <w:b w:val="0"/>
                <w:sz w:val="18"/>
                <w:szCs w:val="18"/>
              </w:rPr>
            </w:pPr>
            <w:r>
              <w:rPr>
                <w:rFonts w:ascii="Arial" w:hAnsi="Arial" w:cs="Arial"/>
                <w:b w:val="0"/>
                <w:sz w:val="18"/>
                <w:szCs w:val="18"/>
              </w:rPr>
              <w:t>Pizza</w:t>
            </w:r>
          </w:p>
        </w:tc>
        <w:tc>
          <w:tcPr>
            <w:tcW w:w="990" w:type="dxa"/>
            <w:gridSpan w:val="2"/>
          </w:tcPr>
          <w:p w14:paraId="1B11022F" w14:textId="3CACD084" w:rsidR="009662A7" w:rsidRPr="00FF78BB" w:rsidRDefault="009662A7" w:rsidP="009662A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F4B83">
              <w:rPr>
                <w:rFonts w:ascii="Arial" w:hAnsi="Arial" w:cs="Arial"/>
                <w:color w:val="auto"/>
                <w:sz w:val="18"/>
                <w:szCs w:val="18"/>
              </w:rPr>
              <w:t>$</w:t>
            </w:r>
            <w:r w:rsidR="00ED1844">
              <w:rPr>
                <w:rFonts w:ascii="Arial" w:hAnsi="Arial" w:cs="Arial"/>
                <w:color w:val="auto"/>
                <w:sz w:val="18"/>
                <w:szCs w:val="18"/>
              </w:rPr>
              <w:t>91</w:t>
            </w:r>
            <w:r w:rsidRPr="000F4B83">
              <w:rPr>
                <w:rFonts w:ascii="Arial" w:hAnsi="Arial" w:cs="Arial"/>
                <w:color w:val="auto"/>
                <w:sz w:val="18"/>
                <w:szCs w:val="18"/>
              </w:rPr>
              <w:t>M</w:t>
            </w:r>
          </w:p>
        </w:tc>
        <w:tc>
          <w:tcPr>
            <w:tcW w:w="1075" w:type="dxa"/>
          </w:tcPr>
          <w:p w14:paraId="768D8E0D" w14:textId="79CE4698" w:rsidR="009662A7" w:rsidRPr="004F6785" w:rsidRDefault="009662A7" w:rsidP="009662A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A5E69">
              <w:rPr>
                <w:rFonts w:ascii="Arial" w:hAnsi="Arial" w:cs="Arial"/>
                <w:color w:val="000000"/>
                <w:sz w:val="18"/>
                <w:szCs w:val="18"/>
              </w:rPr>
              <w:t>-</w:t>
            </w:r>
            <w:r w:rsidR="00ED1844">
              <w:rPr>
                <w:rFonts w:ascii="Arial" w:hAnsi="Arial" w:cs="Arial"/>
                <w:color w:val="000000"/>
                <w:sz w:val="18"/>
                <w:szCs w:val="18"/>
              </w:rPr>
              <w:t>2.0</w:t>
            </w:r>
            <w:r w:rsidRPr="002A5E69">
              <w:rPr>
                <w:rFonts w:ascii="Arial" w:hAnsi="Arial" w:cs="Arial"/>
                <w:color w:val="000000"/>
                <w:sz w:val="18"/>
                <w:szCs w:val="18"/>
              </w:rPr>
              <w:t>%</w:t>
            </w:r>
          </w:p>
        </w:tc>
        <w:tc>
          <w:tcPr>
            <w:tcW w:w="1332" w:type="dxa"/>
            <w:tcBorders>
              <w:right w:val="single" w:sz="4" w:space="0" w:color="auto"/>
            </w:tcBorders>
          </w:tcPr>
          <w:p w14:paraId="2F8F85C8" w14:textId="4D50017A" w:rsidR="009662A7" w:rsidRPr="004F6785" w:rsidRDefault="009662A7" w:rsidP="009662A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A5E69">
              <w:rPr>
                <w:rFonts w:ascii="Arial" w:hAnsi="Arial" w:cs="Arial"/>
                <w:color w:val="000000"/>
                <w:sz w:val="18"/>
                <w:szCs w:val="18"/>
              </w:rPr>
              <w:t>-</w:t>
            </w:r>
            <w:r w:rsidR="00ED1844">
              <w:rPr>
                <w:rFonts w:ascii="Arial" w:hAnsi="Arial" w:cs="Arial"/>
                <w:color w:val="000000"/>
                <w:sz w:val="18"/>
                <w:szCs w:val="18"/>
              </w:rPr>
              <w:t>0.2</w:t>
            </w:r>
            <w:r w:rsidRPr="002A5E69">
              <w:rPr>
                <w:rFonts w:ascii="Arial" w:hAnsi="Arial" w:cs="Arial"/>
                <w:color w:val="000000"/>
                <w:sz w:val="18"/>
                <w:szCs w:val="18"/>
              </w:rPr>
              <w:t>%</w:t>
            </w:r>
          </w:p>
        </w:tc>
        <w:tc>
          <w:tcPr>
            <w:tcW w:w="1733" w:type="dxa"/>
            <w:tcBorders>
              <w:left w:val="single" w:sz="4" w:space="0" w:color="auto"/>
            </w:tcBorders>
            <w:vAlign w:val="center"/>
          </w:tcPr>
          <w:p w14:paraId="300C0347" w14:textId="31AF75E0" w:rsidR="009662A7" w:rsidRPr="00FF78BB" w:rsidRDefault="009662A7" w:rsidP="009662A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Pizza</w:t>
            </w:r>
          </w:p>
        </w:tc>
        <w:tc>
          <w:tcPr>
            <w:tcW w:w="934" w:type="dxa"/>
          </w:tcPr>
          <w:p w14:paraId="57E6886B" w14:textId="6A58BBDB" w:rsidR="009662A7" w:rsidRPr="00FF78BB" w:rsidRDefault="009662A7" w:rsidP="009662A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B5B8E">
              <w:rPr>
                <w:rFonts w:ascii="Arial" w:hAnsi="Arial" w:cs="Arial"/>
                <w:sz w:val="18"/>
                <w:szCs w:val="18"/>
              </w:rPr>
              <w:t>$</w:t>
            </w:r>
            <w:r w:rsidR="00ED1844">
              <w:rPr>
                <w:rFonts w:ascii="Arial" w:hAnsi="Arial" w:cs="Arial"/>
                <w:sz w:val="18"/>
                <w:szCs w:val="18"/>
              </w:rPr>
              <w:t>1.2</w:t>
            </w:r>
            <w:r w:rsidRPr="00EB5B8E">
              <w:rPr>
                <w:rFonts w:ascii="Arial" w:hAnsi="Arial" w:cs="Arial"/>
                <w:sz w:val="18"/>
                <w:szCs w:val="18"/>
              </w:rPr>
              <w:t>B</w:t>
            </w:r>
          </w:p>
        </w:tc>
        <w:tc>
          <w:tcPr>
            <w:tcW w:w="1332" w:type="dxa"/>
          </w:tcPr>
          <w:p w14:paraId="420C519B" w14:textId="4CC3701D" w:rsidR="009662A7" w:rsidRPr="00E85BEE" w:rsidRDefault="00ED1844" w:rsidP="009662A7">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color w:val="000000"/>
                <w:sz w:val="18"/>
                <w:szCs w:val="18"/>
              </w:rPr>
              <w:t>-0.1</w:t>
            </w:r>
            <w:r w:rsidR="009662A7" w:rsidRPr="00761E6B">
              <w:rPr>
                <w:rFonts w:ascii="Arial" w:hAnsi="Arial" w:cs="Arial"/>
                <w:color w:val="000000"/>
                <w:sz w:val="18"/>
                <w:szCs w:val="18"/>
              </w:rPr>
              <w:t>%</w:t>
            </w:r>
          </w:p>
        </w:tc>
        <w:tc>
          <w:tcPr>
            <w:tcW w:w="1337" w:type="dxa"/>
          </w:tcPr>
          <w:p w14:paraId="6DA36DE3" w14:textId="6E7D10FA" w:rsidR="009662A7" w:rsidRPr="00E85BEE" w:rsidRDefault="009662A7" w:rsidP="009662A7">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color w:val="000000"/>
                <w:sz w:val="18"/>
                <w:szCs w:val="18"/>
              </w:rPr>
              <w:t>-</w:t>
            </w:r>
            <w:r w:rsidR="001938B6">
              <w:rPr>
                <w:rFonts w:ascii="Arial" w:hAnsi="Arial" w:cs="Arial"/>
                <w:color w:val="000000"/>
                <w:sz w:val="18"/>
                <w:szCs w:val="18"/>
              </w:rPr>
              <w:t>2.0</w:t>
            </w:r>
            <w:r w:rsidRPr="00761E6B">
              <w:rPr>
                <w:rFonts w:ascii="Arial" w:hAnsi="Arial" w:cs="Arial"/>
                <w:color w:val="000000"/>
                <w:sz w:val="18"/>
                <w:szCs w:val="18"/>
              </w:rPr>
              <w:t>%</w:t>
            </w:r>
          </w:p>
        </w:tc>
      </w:tr>
      <w:tr w:rsidR="00193E59" w:rsidRPr="004C4D23" w14:paraId="60434716" w14:textId="77777777" w:rsidTr="007F6CEB">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07" w:type="dxa"/>
            <w:vAlign w:val="center"/>
          </w:tcPr>
          <w:p w14:paraId="2D455FAB" w14:textId="77777777" w:rsidR="00193E59" w:rsidRPr="00FF78BB" w:rsidRDefault="00193E59" w:rsidP="00193E59">
            <w:pPr>
              <w:pStyle w:val="NoSpacing"/>
              <w:rPr>
                <w:rFonts w:ascii="Arial" w:hAnsi="Arial" w:cs="Arial"/>
                <w:sz w:val="18"/>
                <w:szCs w:val="18"/>
              </w:rPr>
            </w:pPr>
            <w:r w:rsidRPr="00FF78BB">
              <w:rPr>
                <w:rFonts w:ascii="Arial" w:hAnsi="Arial" w:cs="Arial"/>
                <w:b w:val="0"/>
                <w:bCs w:val="0"/>
                <w:sz w:val="18"/>
                <w:szCs w:val="18"/>
              </w:rPr>
              <w:t>Breakfast</w:t>
            </w:r>
          </w:p>
        </w:tc>
        <w:tc>
          <w:tcPr>
            <w:tcW w:w="990" w:type="dxa"/>
            <w:gridSpan w:val="2"/>
          </w:tcPr>
          <w:p w14:paraId="5973FE62" w14:textId="33A48A08" w:rsidR="00193E59" w:rsidRPr="00FF78BB" w:rsidRDefault="00193E59"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F4B83">
              <w:rPr>
                <w:rFonts w:ascii="Arial" w:hAnsi="Arial" w:cs="Arial"/>
                <w:color w:val="auto"/>
                <w:sz w:val="18"/>
                <w:szCs w:val="18"/>
              </w:rPr>
              <w:t>$</w:t>
            </w:r>
            <w:r w:rsidR="00ED1844">
              <w:rPr>
                <w:rFonts w:ascii="Arial" w:hAnsi="Arial" w:cs="Arial"/>
                <w:color w:val="auto"/>
                <w:sz w:val="18"/>
                <w:szCs w:val="18"/>
              </w:rPr>
              <w:t>44</w:t>
            </w:r>
            <w:r w:rsidRPr="000F4B83">
              <w:rPr>
                <w:rFonts w:ascii="Arial" w:hAnsi="Arial" w:cs="Arial"/>
                <w:color w:val="auto"/>
                <w:sz w:val="18"/>
                <w:szCs w:val="18"/>
              </w:rPr>
              <w:t>M</w:t>
            </w:r>
          </w:p>
        </w:tc>
        <w:tc>
          <w:tcPr>
            <w:tcW w:w="1075" w:type="dxa"/>
          </w:tcPr>
          <w:p w14:paraId="51F2D895" w14:textId="438DBB79" w:rsidR="00193E59" w:rsidRPr="004F6785" w:rsidRDefault="00193E59"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A5E69">
              <w:rPr>
                <w:rFonts w:ascii="Arial" w:hAnsi="Arial" w:cs="Arial"/>
                <w:color w:val="000000"/>
                <w:sz w:val="18"/>
                <w:szCs w:val="18"/>
              </w:rPr>
              <w:t>-</w:t>
            </w:r>
            <w:r w:rsidR="00ED1844">
              <w:rPr>
                <w:rFonts w:ascii="Arial" w:hAnsi="Arial" w:cs="Arial"/>
                <w:color w:val="000000"/>
                <w:sz w:val="18"/>
                <w:szCs w:val="18"/>
              </w:rPr>
              <w:t>3.9</w:t>
            </w:r>
            <w:r w:rsidRPr="002A5E69">
              <w:rPr>
                <w:rFonts w:ascii="Arial" w:hAnsi="Arial" w:cs="Arial"/>
                <w:color w:val="000000"/>
                <w:sz w:val="18"/>
                <w:szCs w:val="18"/>
              </w:rPr>
              <w:t>%</w:t>
            </w:r>
          </w:p>
        </w:tc>
        <w:tc>
          <w:tcPr>
            <w:tcW w:w="1332" w:type="dxa"/>
            <w:tcBorders>
              <w:right w:val="single" w:sz="4" w:space="0" w:color="auto"/>
            </w:tcBorders>
          </w:tcPr>
          <w:p w14:paraId="6C6BA3F1" w14:textId="0DC6F2C6" w:rsidR="00193E59" w:rsidRPr="004F6785" w:rsidRDefault="00ED1844"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color w:val="000000"/>
                <w:sz w:val="18"/>
                <w:szCs w:val="18"/>
              </w:rPr>
              <w:t>-1.9</w:t>
            </w:r>
            <w:r w:rsidR="00193E59" w:rsidRPr="004A60FE">
              <w:rPr>
                <w:rFonts w:ascii="Arial" w:hAnsi="Arial" w:cs="Arial"/>
                <w:color w:val="000000"/>
                <w:sz w:val="18"/>
                <w:szCs w:val="18"/>
              </w:rPr>
              <w:t>%</w:t>
            </w:r>
          </w:p>
        </w:tc>
        <w:tc>
          <w:tcPr>
            <w:tcW w:w="1733" w:type="dxa"/>
            <w:tcBorders>
              <w:left w:val="single" w:sz="4" w:space="0" w:color="auto"/>
            </w:tcBorders>
            <w:vAlign w:val="center"/>
          </w:tcPr>
          <w:p w14:paraId="787D5041" w14:textId="77777777" w:rsidR="00193E59" w:rsidRPr="00FF78BB" w:rsidRDefault="00193E59" w:rsidP="00193E5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F78BB">
              <w:rPr>
                <w:rFonts w:ascii="Arial" w:hAnsi="Arial" w:cs="Arial"/>
                <w:sz w:val="18"/>
                <w:szCs w:val="18"/>
              </w:rPr>
              <w:t>Breakfast</w:t>
            </w:r>
          </w:p>
        </w:tc>
        <w:tc>
          <w:tcPr>
            <w:tcW w:w="934" w:type="dxa"/>
          </w:tcPr>
          <w:p w14:paraId="7A7CC99E" w14:textId="02C54819" w:rsidR="00193E59" w:rsidRPr="00FF78BB" w:rsidRDefault="00193E59"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E2B77">
              <w:rPr>
                <w:rFonts w:ascii="Arial" w:hAnsi="Arial" w:cs="Arial"/>
                <w:color w:val="auto"/>
                <w:sz w:val="18"/>
                <w:szCs w:val="18"/>
              </w:rPr>
              <w:t>$</w:t>
            </w:r>
            <w:r w:rsidR="00ED1844">
              <w:rPr>
                <w:rFonts w:ascii="Arial" w:hAnsi="Arial" w:cs="Arial"/>
                <w:color w:val="auto"/>
                <w:sz w:val="18"/>
                <w:szCs w:val="18"/>
              </w:rPr>
              <w:t>572</w:t>
            </w:r>
            <w:r w:rsidRPr="00AE2B77">
              <w:rPr>
                <w:rFonts w:ascii="Arial" w:hAnsi="Arial" w:cs="Arial"/>
                <w:color w:val="auto"/>
                <w:sz w:val="18"/>
                <w:szCs w:val="18"/>
              </w:rPr>
              <w:t>M</w:t>
            </w:r>
          </w:p>
        </w:tc>
        <w:tc>
          <w:tcPr>
            <w:tcW w:w="1332" w:type="dxa"/>
          </w:tcPr>
          <w:p w14:paraId="204FA3EB" w14:textId="19C5C3D2" w:rsidR="00193E59" w:rsidRPr="00E85BEE" w:rsidRDefault="00193E59"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C9492D">
              <w:rPr>
                <w:rFonts w:ascii="Arial" w:hAnsi="Arial" w:cs="Arial"/>
                <w:color w:val="000000"/>
                <w:sz w:val="18"/>
                <w:szCs w:val="18"/>
              </w:rPr>
              <w:t>-</w:t>
            </w:r>
            <w:r w:rsidR="00ED1844">
              <w:rPr>
                <w:rFonts w:ascii="Arial" w:hAnsi="Arial" w:cs="Arial"/>
                <w:color w:val="000000"/>
                <w:sz w:val="18"/>
                <w:szCs w:val="18"/>
              </w:rPr>
              <w:t>1.4</w:t>
            </w:r>
            <w:r w:rsidRPr="00C9492D">
              <w:rPr>
                <w:rFonts w:ascii="Arial" w:hAnsi="Arial" w:cs="Arial"/>
                <w:color w:val="000000"/>
                <w:sz w:val="18"/>
                <w:szCs w:val="18"/>
              </w:rPr>
              <w:t>%</w:t>
            </w:r>
          </w:p>
        </w:tc>
        <w:tc>
          <w:tcPr>
            <w:tcW w:w="1337" w:type="dxa"/>
          </w:tcPr>
          <w:p w14:paraId="2A50290B" w14:textId="2270D662" w:rsidR="00193E59" w:rsidRPr="00E85BEE" w:rsidRDefault="00193E59"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C9492D">
              <w:rPr>
                <w:rFonts w:ascii="Arial" w:hAnsi="Arial" w:cs="Arial"/>
                <w:color w:val="000000"/>
                <w:sz w:val="18"/>
                <w:szCs w:val="18"/>
              </w:rPr>
              <w:t>-</w:t>
            </w:r>
            <w:r w:rsidR="001938B6">
              <w:rPr>
                <w:rFonts w:ascii="Arial" w:hAnsi="Arial" w:cs="Arial"/>
                <w:color w:val="000000"/>
                <w:sz w:val="18"/>
                <w:szCs w:val="18"/>
              </w:rPr>
              <w:t>4.0</w:t>
            </w:r>
            <w:r w:rsidRPr="00C9492D">
              <w:rPr>
                <w:rFonts w:ascii="Arial" w:hAnsi="Arial" w:cs="Arial"/>
                <w:color w:val="000000"/>
                <w:sz w:val="18"/>
                <w:szCs w:val="18"/>
              </w:rPr>
              <w:t>%</w:t>
            </w:r>
          </w:p>
        </w:tc>
      </w:tr>
      <w:tr w:rsidR="00193E59" w:rsidRPr="004C4D23" w14:paraId="32BB886E" w14:textId="77777777" w:rsidTr="00194459">
        <w:trPr>
          <w:trHeight w:val="257"/>
        </w:trPr>
        <w:tc>
          <w:tcPr>
            <w:cnfStyle w:val="001000000000" w:firstRow="0" w:lastRow="0" w:firstColumn="1" w:lastColumn="0" w:oddVBand="0" w:evenVBand="0" w:oddHBand="0" w:evenHBand="0" w:firstRowFirstColumn="0" w:firstRowLastColumn="0" w:lastRowFirstColumn="0" w:lastRowLastColumn="0"/>
            <w:tcW w:w="1707" w:type="dxa"/>
            <w:vAlign w:val="center"/>
          </w:tcPr>
          <w:p w14:paraId="100B0AC2" w14:textId="77777777" w:rsidR="00193E59" w:rsidRPr="00FF78BB" w:rsidRDefault="00193E59" w:rsidP="00193E59">
            <w:pPr>
              <w:pStyle w:val="NoSpacing"/>
              <w:rPr>
                <w:rFonts w:ascii="Arial" w:hAnsi="Arial" w:cs="Arial"/>
                <w:sz w:val="18"/>
                <w:szCs w:val="18"/>
              </w:rPr>
            </w:pPr>
            <w:r w:rsidRPr="00FF78BB">
              <w:rPr>
                <w:rFonts w:ascii="Arial" w:hAnsi="Arial" w:cs="Arial"/>
                <w:b w:val="0"/>
                <w:bCs w:val="0"/>
                <w:sz w:val="18"/>
                <w:szCs w:val="18"/>
              </w:rPr>
              <w:t>Combo meals</w:t>
            </w:r>
          </w:p>
        </w:tc>
        <w:tc>
          <w:tcPr>
            <w:tcW w:w="990" w:type="dxa"/>
            <w:gridSpan w:val="2"/>
          </w:tcPr>
          <w:p w14:paraId="12A8804F" w14:textId="7E246954" w:rsidR="00193E59" w:rsidRPr="00FF78BB" w:rsidRDefault="00193E59" w:rsidP="00193E5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F4B83">
              <w:rPr>
                <w:rFonts w:ascii="Arial" w:hAnsi="Arial" w:cs="Arial"/>
                <w:color w:val="auto"/>
                <w:sz w:val="18"/>
                <w:szCs w:val="18"/>
              </w:rPr>
              <w:t>$</w:t>
            </w:r>
            <w:r w:rsidR="00ED1844">
              <w:rPr>
                <w:rFonts w:ascii="Arial" w:hAnsi="Arial" w:cs="Arial"/>
                <w:color w:val="auto"/>
                <w:sz w:val="18"/>
                <w:szCs w:val="18"/>
              </w:rPr>
              <w:t>13</w:t>
            </w:r>
            <w:r w:rsidRPr="000F4B83">
              <w:rPr>
                <w:rFonts w:ascii="Arial" w:hAnsi="Arial" w:cs="Arial"/>
                <w:color w:val="auto"/>
                <w:sz w:val="18"/>
                <w:szCs w:val="18"/>
              </w:rPr>
              <w:t>M</w:t>
            </w:r>
          </w:p>
        </w:tc>
        <w:tc>
          <w:tcPr>
            <w:tcW w:w="1075" w:type="dxa"/>
          </w:tcPr>
          <w:p w14:paraId="654F0348" w14:textId="1C67A735" w:rsidR="00193E59" w:rsidRPr="004F6785" w:rsidRDefault="00ED1844" w:rsidP="00193E5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color w:val="000000"/>
                <w:sz w:val="18"/>
                <w:szCs w:val="18"/>
              </w:rPr>
              <w:t>-7.3</w:t>
            </w:r>
            <w:r w:rsidR="00193E59" w:rsidRPr="00CE2D61">
              <w:rPr>
                <w:rFonts w:ascii="Arial" w:hAnsi="Arial" w:cs="Arial"/>
                <w:color w:val="000000"/>
                <w:sz w:val="18"/>
                <w:szCs w:val="18"/>
              </w:rPr>
              <w:t>%</w:t>
            </w:r>
          </w:p>
        </w:tc>
        <w:tc>
          <w:tcPr>
            <w:tcW w:w="1332" w:type="dxa"/>
            <w:tcBorders>
              <w:right w:val="single" w:sz="4" w:space="0" w:color="auto"/>
            </w:tcBorders>
          </w:tcPr>
          <w:p w14:paraId="233DBDEB" w14:textId="4427C3AE" w:rsidR="00193E59" w:rsidRPr="004F6785" w:rsidRDefault="001938B6" w:rsidP="00193E5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color w:val="000000"/>
                <w:sz w:val="18"/>
                <w:szCs w:val="18"/>
              </w:rPr>
              <w:t>-0.5</w:t>
            </w:r>
            <w:r w:rsidR="00193E59" w:rsidRPr="004A60FE">
              <w:rPr>
                <w:rFonts w:ascii="Arial" w:hAnsi="Arial" w:cs="Arial"/>
                <w:color w:val="000000"/>
                <w:sz w:val="18"/>
                <w:szCs w:val="18"/>
              </w:rPr>
              <w:t>%</w:t>
            </w:r>
          </w:p>
        </w:tc>
        <w:tc>
          <w:tcPr>
            <w:tcW w:w="1733" w:type="dxa"/>
            <w:tcBorders>
              <w:left w:val="single" w:sz="4" w:space="0" w:color="auto"/>
            </w:tcBorders>
            <w:vAlign w:val="center"/>
          </w:tcPr>
          <w:p w14:paraId="12ABB545" w14:textId="77777777" w:rsidR="00193E59" w:rsidRPr="00FF78BB" w:rsidRDefault="00193E59" w:rsidP="00193E5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F78BB">
              <w:rPr>
                <w:rFonts w:ascii="Arial" w:hAnsi="Arial" w:cs="Arial"/>
                <w:sz w:val="18"/>
                <w:szCs w:val="18"/>
              </w:rPr>
              <w:t>Combo meals</w:t>
            </w:r>
          </w:p>
        </w:tc>
        <w:tc>
          <w:tcPr>
            <w:tcW w:w="934" w:type="dxa"/>
          </w:tcPr>
          <w:p w14:paraId="6055C3D3" w14:textId="40E5E3BD" w:rsidR="00193E59" w:rsidRPr="00FF78BB" w:rsidRDefault="00193E59" w:rsidP="00193E5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E2B77">
              <w:rPr>
                <w:rFonts w:ascii="Arial" w:hAnsi="Arial" w:cs="Arial"/>
                <w:color w:val="auto"/>
                <w:sz w:val="18"/>
                <w:szCs w:val="18"/>
              </w:rPr>
              <w:t>$</w:t>
            </w:r>
            <w:r w:rsidR="00ED1844">
              <w:rPr>
                <w:rFonts w:ascii="Arial" w:hAnsi="Arial" w:cs="Arial"/>
                <w:color w:val="auto"/>
                <w:sz w:val="18"/>
                <w:szCs w:val="18"/>
              </w:rPr>
              <w:t>162</w:t>
            </w:r>
            <w:r w:rsidRPr="00AE2B77">
              <w:rPr>
                <w:rFonts w:ascii="Arial" w:hAnsi="Arial" w:cs="Arial"/>
                <w:color w:val="auto"/>
                <w:sz w:val="18"/>
                <w:szCs w:val="18"/>
              </w:rPr>
              <w:t>M</w:t>
            </w:r>
          </w:p>
        </w:tc>
        <w:tc>
          <w:tcPr>
            <w:tcW w:w="1332" w:type="dxa"/>
          </w:tcPr>
          <w:p w14:paraId="5546527D" w14:textId="188F05C9" w:rsidR="00193E59" w:rsidRPr="00E85BEE" w:rsidRDefault="00193E59" w:rsidP="00193E59">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6C668C">
              <w:rPr>
                <w:rFonts w:ascii="Arial" w:hAnsi="Arial" w:cs="Arial"/>
                <w:color w:val="000000"/>
                <w:sz w:val="18"/>
                <w:szCs w:val="18"/>
              </w:rPr>
              <w:t>+</w:t>
            </w:r>
            <w:r w:rsidR="00ED1844">
              <w:rPr>
                <w:rFonts w:ascii="Arial" w:hAnsi="Arial" w:cs="Arial"/>
                <w:color w:val="000000"/>
                <w:sz w:val="18"/>
                <w:szCs w:val="18"/>
              </w:rPr>
              <w:t>6.4</w:t>
            </w:r>
            <w:r w:rsidRPr="006C668C">
              <w:rPr>
                <w:rFonts w:ascii="Arial" w:hAnsi="Arial" w:cs="Arial"/>
                <w:color w:val="000000"/>
                <w:sz w:val="18"/>
                <w:szCs w:val="18"/>
              </w:rPr>
              <w:t>%</w:t>
            </w:r>
          </w:p>
        </w:tc>
        <w:tc>
          <w:tcPr>
            <w:tcW w:w="1337" w:type="dxa"/>
          </w:tcPr>
          <w:p w14:paraId="05D76147" w14:textId="0C507808" w:rsidR="00193E59" w:rsidRPr="00E85BEE" w:rsidRDefault="00193E59" w:rsidP="00193E59">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6C668C">
              <w:rPr>
                <w:rFonts w:ascii="Arial" w:hAnsi="Arial" w:cs="Arial"/>
                <w:color w:val="000000"/>
                <w:sz w:val="18"/>
                <w:szCs w:val="18"/>
              </w:rPr>
              <w:t>+</w:t>
            </w:r>
            <w:r w:rsidR="001938B6">
              <w:rPr>
                <w:rFonts w:ascii="Arial" w:hAnsi="Arial" w:cs="Arial"/>
                <w:color w:val="000000"/>
                <w:sz w:val="18"/>
                <w:szCs w:val="18"/>
              </w:rPr>
              <w:t>7.5</w:t>
            </w:r>
            <w:r w:rsidRPr="006C668C">
              <w:rPr>
                <w:rFonts w:ascii="Arial" w:hAnsi="Arial" w:cs="Arial"/>
                <w:color w:val="000000"/>
                <w:sz w:val="18"/>
                <w:szCs w:val="18"/>
              </w:rPr>
              <w:t>%</w:t>
            </w:r>
          </w:p>
        </w:tc>
      </w:tr>
      <w:tr w:rsidR="00193E59" w:rsidRPr="004C4D23" w14:paraId="21CD7F41" w14:textId="77777777" w:rsidTr="007F6CEB">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07" w:type="dxa"/>
            <w:vAlign w:val="center"/>
          </w:tcPr>
          <w:p w14:paraId="5F6DC12C" w14:textId="77777777" w:rsidR="00193E59" w:rsidRPr="00FF78BB" w:rsidRDefault="00193E59" w:rsidP="00193E59">
            <w:pPr>
              <w:pStyle w:val="NoSpacing"/>
              <w:rPr>
                <w:rFonts w:ascii="Arial" w:hAnsi="Arial" w:cs="Arial"/>
                <w:sz w:val="18"/>
                <w:szCs w:val="18"/>
              </w:rPr>
            </w:pPr>
            <w:r w:rsidRPr="00FF78BB">
              <w:rPr>
                <w:rFonts w:ascii="Arial" w:hAnsi="Arial" w:cs="Arial"/>
                <w:b w:val="0"/>
                <w:bCs w:val="0"/>
                <w:sz w:val="18"/>
                <w:szCs w:val="18"/>
              </w:rPr>
              <w:t>Desserts</w:t>
            </w:r>
          </w:p>
        </w:tc>
        <w:tc>
          <w:tcPr>
            <w:tcW w:w="990" w:type="dxa"/>
            <w:gridSpan w:val="2"/>
          </w:tcPr>
          <w:p w14:paraId="10988D54" w14:textId="517A60D9" w:rsidR="00193E59" w:rsidRPr="00FF78BB" w:rsidRDefault="00193E59"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F4B83">
              <w:rPr>
                <w:rFonts w:ascii="Arial" w:hAnsi="Arial" w:cs="Arial"/>
                <w:color w:val="auto"/>
                <w:sz w:val="18"/>
                <w:szCs w:val="18"/>
              </w:rPr>
              <w:t>$</w:t>
            </w:r>
            <w:r w:rsidR="00ED1844">
              <w:rPr>
                <w:rFonts w:ascii="Arial" w:hAnsi="Arial" w:cs="Arial"/>
                <w:color w:val="auto"/>
                <w:sz w:val="18"/>
                <w:szCs w:val="18"/>
              </w:rPr>
              <w:t>6.3</w:t>
            </w:r>
            <w:r w:rsidRPr="000F4B83">
              <w:rPr>
                <w:rFonts w:ascii="Arial" w:hAnsi="Arial" w:cs="Arial"/>
                <w:color w:val="auto"/>
                <w:sz w:val="18"/>
                <w:szCs w:val="18"/>
              </w:rPr>
              <w:t>M</w:t>
            </w:r>
          </w:p>
        </w:tc>
        <w:tc>
          <w:tcPr>
            <w:tcW w:w="1075" w:type="dxa"/>
          </w:tcPr>
          <w:p w14:paraId="477288E9" w14:textId="01BF1288" w:rsidR="00193E59" w:rsidRPr="004F6785" w:rsidRDefault="00193E59"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73004">
              <w:rPr>
                <w:rFonts w:ascii="Arial" w:hAnsi="Arial" w:cs="Arial"/>
                <w:color w:val="000000"/>
                <w:sz w:val="18"/>
                <w:szCs w:val="18"/>
              </w:rPr>
              <w:t>-</w:t>
            </w:r>
            <w:r w:rsidR="00ED1844">
              <w:rPr>
                <w:rFonts w:ascii="Arial" w:hAnsi="Arial" w:cs="Arial"/>
                <w:color w:val="000000"/>
                <w:sz w:val="18"/>
                <w:szCs w:val="18"/>
              </w:rPr>
              <w:t>10.0</w:t>
            </w:r>
            <w:r w:rsidRPr="00C73004">
              <w:rPr>
                <w:rFonts w:ascii="Arial" w:hAnsi="Arial" w:cs="Arial"/>
                <w:color w:val="000000"/>
                <w:sz w:val="18"/>
                <w:szCs w:val="18"/>
              </w:rPr>
              <w:t>%</w:t>
            </w:r>
          </w:p>
        </w:tc>
        <w:tc>
          <w:tcPr>
            <w:tcW w:w="1332" w:type="dxa"/>
            <w:tcBorders>
              <w:right w:val="single" w:sz="4" w:space="0" w:color="auto"/>
            </w:tcBorders>
          </w:tcPr>
          <w:p w14:paraId="0FFB31BB" w14:textId="4ABAC889" w:rsidR="00193E59" w:rsidRPr="004F6785" w:rsidRDefault="00193E59"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73004">
              <w:rPr>
                <w:rFonts w:ascii="Arial" w:hAnsi="Arial" w:cs="Arial"/>
                <w:color w:val="000000"/>
                <w:sz w:val="18"/>
                <w:szCs w:val="18"/>
              </w:rPr>
              <w:t>-</w:t>
            </w:r>
            <w:r w:rsidR="001938B6">
              <w:rPr>
                <w:rFonts w:ascii="Arial" w:hAnsi="Arial" w:cs="Arial"/>
                <w:color w:val="000000"/>
                <w:sz w:val="18"/>
                <w:szCs w:val="18"/>
              </w:rPr>
              <w:t>8.6</w:t>
            </w:r>
            <w:r w:rsidRPr="00C73004">
              <w:rPr>
                <w:rFonts w:ascii="Arial" w:hAnsi="Arial" w:cs="Arial"/>
                <w:color w:val="000000"/>
                <w:sz w:val="18"/>
                <w:szCs w:val="18"/>
              </w:rPr>
              <w:t>%</w:t>
            </w:r>
          </w:p>
        </w:tc>
        <w:tc>
          <w:tcPr>
            <w:tcW w:w="1733" w:type="dxa"/>
            <w:tcBorders>
              <w:left w:val="single" w:sz="4" w:space="0" w:color="auto"/>
              <w:bottom w:val="single" w:sz="4" w:space="0" w:color="000000" w:themeColor="text1"/>
            </w:tcBorders>
            <w:vAlign w:val="center"/>
          </w:tcPr>
          <w:p w14:paraId="32AF99AB" w14:textId="77777777" w:rsidR="00193E59" w:rsidRPr="00FF78BB" w:rsidRDefault="00193E59" w:rsidP="00193E5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F78BB">
              <w:rPr>
                <w:rFonts w:ascii="Arial" w:hAnsi="Arial" w:cs="Arial"/>
                <w:sz w:val="18"/>
                <w:szCs w:val="18"/>
              </w:rPr>
              <w:t>Desserts</w:t>
            </w:r>
          </w:p>
        </w:tc>
        <w:tc>
          <w:tcPr>
            <w:tcW w:w="934" w:type="dxa"/>
          </w:tcPr>
          <w:p w14:paraId="15A6FA95" w14:textId="1EC781C7" w:rsidR="00193E59" w:rsidRPr="00FF78BB" w:rsidRDefault="00193E59"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E2B77">
              <w:rPr>
                <w:rFonts w:ascii="Arial" w:hAnsi="Arial" w:cs="Arial"/>
                <w:color w:val="auto"/>
                <w:sz w:val="18"/>
                <w:szCs w:val="18"/>
              </w:rPr>
              <w:t>$</w:t>
            </w:r>
            <w:r w:rsidR="00ED1844">
              <w:rPr>
                <w:rFonts w:ascii="Arial" w:hAnsi="Arial" w:cs="Arial"/>
                <w:color w:val="auto"/>
                <w:sz w:val="18"/>
                <w:szCs w:val="18"/>
              </w:rPr>
              <w:t>90</w:t>
            </w:r>
            <w:r w:rsidRPr="00AE2B77">
              <w:rPr>
                <w:rFonts w:ascii="Arial" w:hAnsi="Arial" w:cs="Arial"/>
                <w:color w:val="auto"/>
                <w:sz w:val="18"/>
                <w:szCs w:val="18"/>
              </w:rPr>
              <w:t>M</w:t>
            </w:r>
          </w:p>
        </w:tc>
        <w:tc>
          <w:tcPr>
            <w:tcW w:w="1332" w:type="dxa"/>
          </w:tcPr>
          <w:p w14:paraId="41E7E837" w14:textId="2A87E65B" w:rsidR="00193E59" w:rsidRPr="00E85BEE" w:rsidRDefault="00193E59"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color w:val="000000"/>
                <w:sz w:val="18"/>
                <w:szCs w:val="18"/>
              </w:rPr>
              <w:t>-</w:t>
            </w:r>
            <w:r w:rsidR="00ED1844">
              <w:rPr>
                <w:rFonts w:ascii="Arial" w:hAnsi="Arial" w:cs="Arial"/>
                <w:color w:val="000000"/>
                <w:sz w:val="18"/>
                <w:szCs w:val="18"/>
              </w:rPr>
              <w:t>8.0</w:t>
            </w:r>
            <w:r w:rsidRPr="00740660">
              <w:rPr>
                <w:rFonts w:ascii="Arial" w:hAnsi="Arial" w:cs="Arial"/>
                <w:color w:val="000000"/>
                <w:sz w:val="18"/>
                <w:szCs w:val="18"/>
              </w:rPr>
              <w:t>%</w:t>
            </w:r>
          </w:p>
        </w:tc>
        <w:tc>
          <w:tcPr>
            <w:tcW w:w="1337" w:type="dxa"/>
          </w:tcPr>
          <w:p w14:paraId="78C467C2" w14:textId="537CBDE4" w:rsidR="00193E59" w:rsidRPr="00E85BEE" w:rsidRDefault="00193E59" w:rsidP="00193E59">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color w:val="000000"/>
                <w:sz w:val="18"/>
                <w:szCs w:val="18"/>
              </w:rPr>
              <w:t>-</w:t>
            </w:r>
            <w:r w:rsidR="001938B6">
              <w:rPr>
                <w:rFonts w:ascii="Arial" w:hAnsi="Arial" w:cs="Arial"/>
                <w:color w:val="000000"/>
                <w:sz w:val="18"/>
                <w:szCs w:val="18"/>
              </w:rPr>
              <w:t>10.9</w:t>
            </w:r>
            <w:r w:rsidRPr="00740660">
              <w:rPr>
                <w:rFonts w:ascii="Arial" w:hAnsi="Arial" w:cs="Arial"/>
                <w:color w:val="000000"/>
                <w:sz w:val="18"/>
                <w:szCs w:val="18"/>
              </w:rPr>
              <w:t>%</w:t>
            </w:r>
          </w:p>
        </w:tc>
      </w:tr>
    </w:tbl>
    <w:p w14:paraId="411F0DAF" w14:textId="77777777" w:rsidR="008A06C7" w:rsidRDefault="008A06C7" w:rsidP="00A03097">
      <w:pPr>
        <w:pStyle w:val="NoSpacing"/>
        <w:rPr>
          <w:rFonts w:ascii="Arial" w:hAnsi="Arial" w:cs="Arial"/>
          <w:color w:val="7F7F7F" w:themeColor="text1" w:themeTint="80"/>
          <w:sz w:val="16"/>
          <w:szCs w:val="16"/>
        </w:rPr>
      </w:pPr>
    </w:p>
    <w:p w14:paraId="6397AB2A" w14:textId="2E5BF6DE" w:rsidR="00A03097" w:rsidRPr="00EC07EE" w:rsidRDefault="00A03097" w:rsidP="00A03097">
      <w:pPr>
        <w:pStyle w:val="NoSpacing"/>
        <w:rPr>
          <w:rFonts w:ascii="Arial" w:hAnsi="Arial" w:cs="Arial"/>
          <w:color w:val="7F7F7F" w:themeColor="text1" w:themeTint="80"/>
          <w:sz w:val="16"/>
          <w:szCs w:val="16"/>
        </w:rPr>
      </w:pPr>
      <w:r w:rsidRPr="00EC07EE">
        <w:rPr>
          <w:rFonts w:ascii="Arial" w:hAnsi="Arial" w:cs="Arial"/>
          <w:color w:val="7F7F7F" w:themeColor="text1" w:themeTint="80"/>
          <w:sz w:val="16"/>
          <w:szCs w:val="16"/>
        </w:rPr>
        <w:t xml:space="preserve">Source: Circana, Total US, </w:t>
      </w:r>
      <w:r>
        <w:rPr>
          <w:rFonts w:ascii="Arial" w:hAnsi="Arial" w:cs="Arial"/>
          <w:color w:val="7F7F7F" w:themeColor="text1" w:themeTint="80"/>
          <w:sz w:val="16"/>
          <w:szCs w:val="16"/>
        </w:rPr>
        <w:t>MULO+</w:t>
      </w:r>
      <w:r w:rsidRPr="00EC07EE">
        <w:rPr>
          <w:rFonts w:ascii="Arial" w:hAnsi="Arial" w:cs="Arial"/>
          <w:color w:val="7F7F7F" w:themeColor="text1" w:themeTint="80"/>
          <w:sz w:val="16"/>
          <w:szCs w:val="16"/>
        </w:rPr>
        <w:t>, Integrated Fresh, % increase versus same period year ago, deli prepared foods including both fixed and random weight</w:t>
      </w:r>
      <w:r w:rsidR="00EA3217">
        <w:rPr>
          <w:rFonts w:ascii="Arial" w:hAnsi="Arial" w:cs="Arial"/>
          <w:color w:val="7F7F7F" w:themeColor="text1" w:themeTint="80"/>
          <w:sz w:val="16"/>
          <w:szCs w:val="16"/>
        </w:rPr>
        <w:t>.</w:t>
      </w:r>
    </w:p>
    <w:p w14:paraId="51927B24" w14:textId="77777777" w:rsidR="0022537E" w:rsidRPr="00CA62D6" w:rsidRDefault="0022537E" w:rsidP="00720067">
      <w:pPr>
        <w:pStyle w:val="NoSpacing"/>
        <w:rPr>
          <w:rFonts w:ascii="Arial" w:hAnsi="Arial" w:cs="Arial"/>
          <w:sz w:val="18"/>
          <w:szCs w:val="20"/>
        </w:rPr>
      </w:pPr>
      <w:bookmarkStart w:id="13" w:name="_Hlk121583547"/>
      <w:bookmarkStart w:id="14" w:name="_Hlk116291245"/>
      <w:bookmarkStart w:id="15" w:name="_Hlk79236872"/>
    </w:p>
    <w:bookmarkEnd w:id="13"/>
    <w:bookmarkEnd w:id="14"/>
    <w:bookmarkEnd w:id="15"/>
    <w:p w14:paraId="42B55898" w14:textId="26060FA4" w:rsidR="0022537E" w:rsidRDefault="0022537E" w:rsidP="0022537E">
      <w:pPr>
        <w:pStyle w:val="NoSpacing"/>
        <w:rPr>
          <w:rFonts w:ascii="Arial" w:hAnsi="Arial" w:cs="Arial"/>
          <w:b/>
          <w:sz w:val="20"/>
          <w:szCs w:val="20"/>
        </w:rPr>
      </w:pPr>
      <w:r>
        <w:rPr>
          <w:rFonts w:ascii="Arial" w:hAnsi="Arial" w:cs="Arial"/>
          <w:b/>
          <w:sz w:val="20"/>
          <w:szCs w:val="20"/>
        </w:rPr>
        <w:t xml:space="preserve">Date ranges: </w:t>
      </w:r>
    </w:p>
    <w:p w14:paraId="3E84A734" w14:textId="2FB32F27" w:rsidR="00AE4240" w:rsidRDefault="005A4AF8" w:rsidP="0022537E">
      <w:pPr>
        <w:pStyle w:val="NoSpacing"/>
        <w:rPr>
          <w:rFonts w:ascii="Arial" w:hAnsi="Arial" w:cs="Arial"/>
          <w:sz w:val="20"/>
          <w:szCs w:val="20"/>
        </w:rPr>
      </w:pPr>
      <w:r>
        <w:rPr>
          <w:rFonts w:ascii="Arial" w:hAnsi="Arial" w:cs="Arial"/>
          <w:sz w:val="20"/>
          <w:szCs w:val="20"/>
        </w:rPr>
        <w:t>2025: 52 weeks ending 12/28</w:t>
      </w:r>
      <w:r w:rsidR="00BF0B40">
        <w:rPr>
          <w:rFonts w:ascii="Arial" w:hAnsi="Arial" w:cs="Arial"/>
          <w:sz w:val="20"/>
          <w:szCs w:val="20"/>
        </w:rPr>
        <w:t>/2025</w:t>
      </w:r>
      <w:r w:rsidR="00AE4240">
        <w:rPr>
          <w:rFonts w:ascii="Arial" w:hAnsi="Arial" w:cs="Arial"/>
          <w:sz w:val="20"/>
          <w:szCs w:val="20"/>
        </w:rPr>
        <w:t xml:space="preserve">     </w:t>
      </w:r>
    </w:p>
    <w:p w14:paraId="5BA26EBE" w14:textId="3A0B00C6" w:rsidR="00A814FF" w:rsidRDefault="00872F08" w:rsidP="0022537E">
      <w:pPr>
        <w:pStyle w:val="NoSpacing"/>
        <w:rPr>
          <w:rFonts w:ascii="Arial" w:hAnsi="Arial" w:cs="Arial"/>
          <w:sz w:val="20"/>
          <w:szCs w:val="20"/>
        </w:rPr>
      </w:pPr>
      <w:r>
        <w:rPr>
          <w:rFonts w:ascii="Arial" w:hAnsi="Arial" w:cs="Arial"/>
          <w:sz w:val="20"/>
          <w:szCs w:val="20"/>
        </w:rPr>
        <w:t>Q1 2026</w:t>
      </w:r>
      <w:r w:rsidR="005A4AF8">
        <w:rPr>
          <w:rFonts w:ascii="Arial" w:hAnsi="Arial" w:cs="Arial"/>
          <w:sz w:val="20"/>
          <w:szCs w:val="20"/>
        </w:rPr>
        <w:t xml:space="preserve">: 13 weeks ending </w:t>
      </w:r>
      <w:r>
        <w:rPr>
          <w:rFonts w:ascii="Arial" w:hAnsi="Arial" w:cs="Arial"/>
          <w:sz w:val="20"/>
          <w:szCs w:val="20"/>
        </w:rPr>
        <w:t>03/29/2026</w:t>
      </w:r>
    </w:p>
    <w:p w14:paraId="1522D985" w14:textId="387B1D9E" w:rsidR="00922058" w:rsidRPr="001031CD" w:rsidRDefault="00193E59" w:rsidP="0022537E">
      <w:pPr>
        <w:pStyle w:val="NoSpacing"/>
        <w:rPr>
          <w:rFonts w:ascii="Arial" w:hAnsi="Arial" w:cs="Arial"/>
          <w:sz w:val="20"/>
          <w:szCs w:val="20"/>
          <w:lang w:val="en-GB"/>
        </w:rPr>
      </w:pPr>
      <w:r>
        <w:rPr>
          <w:rFonts w:ascii="Arial" w:hAnsi="Arial" w:cs="Arial"/>
          <w:sz w:val="20"/>
          <w:szCs w:val="20"/>
        </w:rPr>
        <w:t>March</w:t>
      </w:r>
      <w:r w:rsidR="00EB6E25">
        <w:rPr>
          <w:rFonts w:ascii="Arial" w:hAnsi="Arial" w:cs="Arial"/>
          <w:sz w:val="20"/>
          <w:szCs w:val="20"/>
        </w:rPr>
        <w:t xml:space="preserve"> </w:t>
      </w:r>
      <w:r w:rsidR="000D7CB9">
        <w:rPr>
          <w:rFonts w:ascii="Arial" w:hAnsi="Arial" w:cs="Arial"/>
          <w:sz w:val="20"/>
          <w:szCs w:val="20"/>
        </w:rPr>
        <w:t>2026</w:t>
      </w:r>
      <w:r w:rsidR="0022537E">
        <w:rPr>
          <w:rFonts w:ascii="Arial" w:hAnsi="Arial" w:cs="Arial"/>
          <w:sz w:val="20"/>
          <w:szCs w:val="20"/>
        </w:rPr>
        <w:t xml:space="preserve">: </w:t>
      </w:r>
      <w:r w:rsidR="00662B2C">
        <w:rPr>
          <w:rFonts w:ascii="Arial" w:hAnsi="Arial" w:cs="Arial"/>
          <w:sz w:val="20"/>
          <w:szCs w:val="20"/>
        </w:rPr>
        <w:t>4</w:t>
      </w:r>
      <w:r w:rsidR="000C3F73">
        <w:rPr>
          <w:rFonts w:ascii="Arial" w:hAnsi="Arial" w:cs="Arial"/>
          <w:sz w:val="20"/>
          <w:szCs w:val="20"/>
        </w:rPr>
        <w:t xml:space="preserve"> weeks ending </w:t>
      </w:r>
      <w:r w:rsidR="000D7CB9">
        <w:rPr>
          <w:rFonts w:ascii="Arial" w:hAnsi="Arial" w:cs="Arial"/>
          <w:sz w:val="20"/>
          <w:szCs w:val="20"/>
        </w:rPr>
        <w:t>0</w:t>
      </w:r>
      <w:r w:rsidR="00662B2C">
        <w:rPr>
          <w:rFonts w:ascii="Arial" w:hAnsi="Arial" w:cs="Arial"/>
          <w:sz w:val="20"/>
          <w:szCs w:val="20"/>
        </w:rPr>
        <w:t>3</w:t>
      </w:r>
      <w:r>
        <w:rPr>
          <w:rFonts w:ascii="Arial" w:hAnsi="Arial" w:cs="Arial"/>
          <w:sz w:val="20"/>
          <w:szCs w:val="20"/>
        </w:rPr>
        <w:t>/29</w:t>
      </w:r>
      <w:r w:rsidR="0022537E">
        <w:rPr>
          <w:rFonts w:ascii="Arial" w:hAnsi="Arial" w:cs="Arial"/>
          <w:sz w:val="20"/>
          <w:szCs w:val="20"/>
        </w:rPr>
        <w:t>/202</w:t>
      </w:r>
      <w:r w:rsidR="000D7CB9">
        <w:rPr>
          <w:rFonts w:ascii="Arial" w:hAnsi="Arial" w:cs="Arial"/>
          <w:sz w:val="20"/>
          <w:szCs w:val="20"/>
        </w:rPr>
        <w:t>6</w:t>
      </w:r>
    </w:p>
    <w:sectPr w:rsidR="00922058" w:rsidRPr="001031CD" w:rsidSect="0088460E">
      <w:headerReference w:type="default" r:id="rId13"/>
      <w:footerReference w:type="default" r:id="rId14"/>
      <w:pgSz w:w="12240" w:h="15840"/>
      <w:pgMar w:top="1620" w:right="810" w:bottom="851" w:left="900" w:header="708"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EF41E" w14:textId="77777777" w:rsidR="00312556" w:rsidRDefault="00312556" w:rsidP="00030F05">
      <w:pPr>
        <w:spacing w:after="0" w:line="240" w:lineRule="auto"/>
      </w:pPr>
      <w:r>
        <w:separator/>
      </w:r>
    </w:p>
  </w:endnote>
  <w:endnote w:type="continuationSeparator" w:id="0">
    <w:p w14:paraId="4A2A64B1" w14:textId="77777777" w:rsidR="00312556" w:rsidRDefault="00312556" w:rsidP="00030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81E2C" w14:textId="6920BD82" w:rsidR="007E5368" w:rsidRDefault="007E5368">
    <w:pPr>
      <w:pStyle w:val="Footer"/>
    </w:pPr>
    <w:r>
      <w:rPr>
        <w:noProof/>
        <w:lang w:val="nl-NL" w:eastAsia="nl-NL"/>
      </w:rPr>
      <w:drawing>
        <wp:anchor distT="0" distB="0" distL="114300" distR="114300" simplePos="0" relativeHeight="251703296" behindDoc="0" locked="0" layoutInCell="1" allowOverlap="1" wp14:anchorId="174C63D4" wp14:editId="281308B5">
          <wp:simplePos x="0" y="0"/>
          <wp:positionH relativeFrom="margin">
            <wp:align>left</wp:align>
          </wp:positionH>
          <wp:positionV relativeFrom="paragraph">
            <wp:posOffset>-94615</wp:posOffset>
          </wp:positionV>
          <wp:extent cx="914400" cy="34544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04654" name="Picture 1475204654"/>
                  <pic:cNvPicPr/>
                </pic:nvPicPr>
                <pic:blipFill>
                  <a:blip r:embed="rId1">
                    <a:extLst>
                      <a:ext uri="{28A0092B-C50C-407E-A947-70E740481C1C}">
                        <a14:useLocalDpi xmlns:a14="http://schemas.microsoft.com/office/drawing/2010/main" val="0"/>
                      </a:ext>
                    </a:extLst>
                  </a:blip>
                  <a:stretch>
                    <a:fillRect/>
                  </a:stretch>
                </pic:blipFill>
                <pic:spPr>
                  <a:xfrm>
                    <a:off x="0" y="0"/>
                    <a:ext cx="914400" cy="345440"/>
                  </a:xfrm>
                  <a:prstGeom prst="rect">
                    <a:avLst/>
                  </a:prstGeom>
                </pic:spPr>
              </pic:pic>
            </a:graphicData>
          </a:graphic>
          <wp14:sizeRelH relativeFrom="margin">
            <wp14:pctWidth>0</wp14:pctWidth>
          </wp14:sizeRelH>
          <wp14:sizeRelV relativeFrom="margin">
            <wp14:pctHeight>0</wp14:pctHeight>
          </wp14:sizeRelV>
        </wp:anchor>
      </w:drawing>
    </w:r>
    <w:r>
      <w:rPr>
        <w:noProof/>
        <w:lang w:val="nl-NL" w:eastAsia="nl-NL"/>
      </w:rPr>
      <w:drawing>
        <wp:anchor distT="0" distB="0" distL="114300" distR="114300" simplePos="0" relativeHeight="251702272" behindDoc="0" locked="0" layoutInCell="1" allowOverlap="1" wp14:anchorId="6632173D" wp14:editId="7A48A39B">
          <wp:simplePos x="0" y="0"/>
          <wp:positionH relativeFrom="page">
            <wp:posOffset>1661160</wp:posOffset>
          </wp:positionH>
          <wp:positionV relativeFrom="page">
            <wp:posOffset>9616440</wp:posOffset>
          </wp:positionV>
          <wp:extent cx="1060330" cy="337185"/>
          <wp:effectExtent l="0" t="0" r="0" b="5715"/>
          <wp:wrapThrough wrapText="bothSides">
            <wp:wrapPolygon edited="0">
              <wp:start x="1553" y="0"/>
              <wp:lineTo x="0" y="7322"/>
              <wp:lineTo x="0" y="14644"/>
              <wp:lineTo x="1553" y="20746"/>
              <wp:lineTo x="4659" y="20746"/>
              <wp:lineTo x="19801" y="17085"/>
              <wp:lineTo x="19801" y="8542"/>
              <wp:lineTo x="5047" y="0"/>
              <wp:lineTo x="1553" y="0"/>
            </wp:wrapPolygon>
          </wp:wrapThrough>
          <wp:docPr id="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
                  <a:srcRect l="5123" t="11111" b="15278"/>
                  <a:stretch/>
                </pic:blipFill>
                <pic:spPr bwMode="auto">
                  <a:xfrm>
                    <a:off x="0" y="0"/>
                    <a:ext cx="1060330" cy="3371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87C2C">
      <w:rPr>
        <w:rFonts w:ascii="Arial" w:hAnsi="Arial" w:cs="Arial"/>
        <w:noProof/>
        <w:sz w:val="18"/>
        <w:szCs w:val="18"/>
        <w:lang w:val="nl-NL" w:eastAsia="nl-NL"/>
      </w:rPr>
      <w:drawing>
        <wp:anchor distT="0" distB="0" distL="114300" distR="114300" simplePos="0" relativeHeight="251700224" behindDoc="1" locked="0" layoutInCell="1" allowOverlap="1" wp14:anchorId="09A3E984" wp14:editId="12875E0F">
          <wp:simplePos x="0" y="0"/>
          <wp:positionH relativeFrom="margin">
            <wp:posOffset>2232660</wp:posOffset>
          </wp:positionH>
          <wp:positionV relativeFrom="paragraph">
            <wp:posOffset>-170180</wp:posOffset>
          </wp:positionV>
          <wp:extent cx="4996815" cy="581025"/>
          <wp:effectExtent l="0" t="0" r="0" b="9525"/>
          <wp:wrapNone/>
          <wp:docPr id="858771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909775" name="Picture 1269909775"/>
                  <pic:cNvPicPr/>
                </pic:nvPicPr>
                <pic:blipFill rotWithShape="1">
                  <a:blip r:embed="rId3">
                    <a:extLst>
                      <a:ext uri="{28A0092B-C50C-407E-A947-70E740481C1C}">
                        <a14:useLocalDpi xmlns:a14="http://schemas.microsoft.com/office/drawing/2010/main" val="0"/>
                      </a:ext>
                    </a:extLst>
                  </a:blip>
                  <a:srcRect l="37234" t="7288"/>
                  <a:stretch>
                    <a:fillRect/>
                  </a:stretch>
                </pic:blipFill>
                <pic:spPr bwMode="auto">
                  <a:xfrm>
                    <a:off x="0" y="0"/>
                    <a:ext cx="4996815" cy="581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CCC98" w14:textId="77777777" w:rsidR="00312556" w:rsidRDefault="00312556" w:rsidP="00030F05">
      <w:pPr>
        <w:spacing w:after="0" w:line="240" w:lineRule="auto"/>
      </w:pPr>
      <w:r>
        <w:separator/>
      </w:r>
    </w:p>
  </w:footnote>
  <w:footnote w:type="continuationSeparator" w:id="0">
    <w:p w14:paraId="6A1A5675" w14:textId="77777777" w:rsidR="00312556" w:rsidRDefault="00312556" w:rsidP="00030F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A7A67" w14:textId="33E511A1" w:rsidR="007E5368" w:rsidRPr="0088460E" w:rsidRDefault="007E5368" w:rsidP="0088460E">
    <w:pPr>
      <w:pStyle w:val="Header"/>
    </w:pPr>
    <w:r>
      <w:rPr>
        <w:noProof/>
        <w:lang w:val="nl-NL" w:eastAsia="nl-NL"/>
      </w:rPr>
      <w:drawing>
        <wp:anchor distT="0" distB="0" distL="114300" distR="114300" simplePos="0" relativeHeight="251698176" behindDoc="1" locked="0" layoutInCell="1" allowOverlap="1" wp14:anchorId="75E22B85" wp14:editId="1E4E1B9D">
          <wp:simplePos x="0" y="0"/>
          <wp:positionH relativeFrom="page">
            <wp:align>left</wp:align>
          </wp:positionH>
          <wp:positionV relativeFrom="paragraph">
            <wp:posOffset>-440055</wp:posOffset>
          </wp:positionV>
          <wp:extent cx="7753350" cy="912158"/>
          <wp:effectExtent l="0" t="0" r="0" b="2540"/>
          <wp:wrapNone/>
          <wp:docPr id="1096245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24520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96587" cy="917245"/>
                  </a:xfrm>
                  <a:prstGeom prst="rect">
                    <a:avLst/>
                  </a:prstGeom>
                </pic:spPr>
              </pic:pic>
            </a:graphicData>
          </a:graphic>
          <wp14:sizeRelH relativeFrom="margin">
            <wp14:pctWidth>0</wp14:pctWidth>
          </wp14:sizeRelH>
          <wp14:sizeRelV relativeFrom="margin">
            <wp14:pctHeight>0</wp14:pctHeight>
          </wp14:sizeRelV>
        </wp:anchor>
      </w:drawing>
    </w:r>
  </w:p>
  <w:p w14:paraId="6426B58E" w14:textId="77777777" w:rsidR="007E5368" w:rsidRDefault="007E53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13AED"/>
    <w:multiLevelType w:val="multilevel"/>
    <w:tmpl w:val="8DE880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0D376FA"/>
    <w:multiLevelType w:val="hybridMultilevel"/>
    <w:tmpl w:val="31D420E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2C0F10"/>
    <w:multiLevelType w:val="hybridMultilevel"/>
    <w:tmpl w:val="2556C4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A844A83"/>
    <w:multiLevelType w:val="hybridMultilevel"/>
    <w:tmpl w:val="7AC41EB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D812326"/>
    <w:multiLevelType w:val="hybridMultilevel"/>
    <w:tmpl w:val="1E90CA2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31405485">
    <w:abstractNumId w:val="3"/>
  </w:num>
  <w:num w:numId="2" w16cid:durableId="870144162">
    <w:abstractNumId w:val="1"/>
  </w:num>
  <w:num w:numId="3" w16cid:durableId="495190152">
    <w:abstractNumId w:val="4"/>
  </w:num>
  <w:num w:numId="4" w16cid:durableId="83961761">
    <w:abstractNumId w:val="0"/>
  </w:num>
  <w:num w:numId="5" w16cid:durableId="173212189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7E3"/>
    <w:rsid w:val="000001F1"/>
    <w:rsid w:val="00000219"/>
    <w:rsid w:val="000009C5"/>
    <w:rsid w:val="000011EF"/>
    <w:rsid w:val="0000195E"/>
    <w:rsid w:val="00001F7D"/>
    <w:rsid w:val="00001F9D"/>
    <w:rsid w:val="00002925"/>
    <w:rsid w:val="00002F63"/>
    <w:rsid w:val="00002FD8"/>
    <w:rsid w:val="00005AC4"/>
    <w:rsid w:val="00007300"/>
    <w:rsid w:val="000073AF"/>
    <w:rsid w:val="0000766F"/>
    <w:rsid w:val="00007750"/>
    <w:rsid w:val="00007878"/>
    <w:rsid w:val="000079C3"/>
    <w:rsid w:val="00010FAD"/>
    <w:rsid w:val="000125AA"/>
    <w:rsid w:val="00012A5E"/>
    <w:rsid w:val="00012B1A"/>
    <w:rsid w:val="00013448"/>
    <w:rsid w:val="000134EB"/>
    <w:rsid w:val="00013E55"/>
    <w:rsid w:val="00014823"/>
    <w:rsid w:val="0001526F"/>
    <w:rsid w:val="00015EB3"/>
    <w:rsid w:val="0001787D"/>
    <w:rsid w:val="00017DCF"/>
    <w:rsid w:val="0002049A"/>
    <w:rsid w:val="000212AA"/>
    <w:rsid w:val="00021B82"/>
    <w:rsid w:val="00023624"/>
    <w:rsid w:val="00023F33"/>
    <w:rsid w:val="000253BC"/>
    <w:rsid w:val="0002561A"/>
    <w:rsid w:val="000276C8"/>
    <w:rsid w:val="00027CAA"/>
    <w:rsid w:val="00030F05"/>
    <w:rsid w:val="000311F5"/>
    <w:rsid w:val="0003170A"/>
    <w:rsid w:val="00032DD7"/>
    <w:rsid w:val="00033B7B"/>
    <w:rsid w:val="00033D02"/>
    <w:rsid w:val="00033E4F"/>
    <w:rsid w:val="00034F34"/>
    <w:rsid w:val="000354E6"/>
    <w:rsid w:val="00036AB2"/>
    <w:rsid w:val="00036EFD"/>
    <w:rsid w:val="0004166F"/>
    <w:rsid w:val="00041900"/>
    <w:rsid w:val="00041A90"/>
    <w:rsid w:val="000421E1"/>
    <w:rsid w:val="00045B0F"/>
    <w:rsid w:val="000474E7"/>
    <w:rsid w:val="0004783F"/>
    <w:rsid w:val="00050133"/>
    <w:rsid w:val="0005098C"/>
    <w:rsid w:val="0005131D"/>
    <w:rsid w:val="00051C92"/>
    <w:rsid w:val="00051D8D"/>
    <w:rsid w:val="00052208"/>
    <w:rsid w:val="000522E0"/>
    <w:rsid w:val="00052CC5"/>
    <w:rsid w:val="000543D2"/>
    <w:rsid w:val="000544C5"/>
    <w:rsid w:val="00055341"/>
    <w:rsid w:val="00055690"/>
    <w:rsid w:val="00055750"/>
    <w:rsid w:val="0005600C"/>
    <w:rsid w:val="00056F44"/>
    <w:rsid w:val="000576BD"/>
    <w:rsid w:val="00057DF9"/>
    <w:rsid w:val="00057E79"/>
    <w:rsid w:val="000601B0"/>
    <w:rsid w:val="00060279"/>
    <w:rsid w:val="00060715"/>
    <w:rsid w:val="00061BE8"/>
    <w:rsid w:val="00061E00"/>
    <w:rsid w:val="000636F9"/>
    <w:rsid w:val="00063AFE"/>
    <w:rsid w:val="00063FDF"/>
    <w:rsid w:val="000642B2"/>
    <w:rsid w:val="00064CC3"/>
    <w:rsid w:val="00067139"/>
    <w:rsid w:val="00067985"/>
    <w:rsid w:val="000679E6"/>
    <w:rsid w:val="00070E3C"/>
    <w:rsid w:val="00070E98"/>
    <w:rsid w:val="00070FA2"/>
    <w:rsid w:val="00071339"/>
    <w:rsid w:val="0007205D"/>
    <w:rsid w:val="0007230D"/>
    <w:rsid w:val="00072596"/>
    <w:rsid w:val="000729E1"/>
    <w:rsid w:val="00072F38"/>
    <w:rsid w:val="0007328B"/>
    <w:rsid w:val="000738E6"/>
    <w:rsid w:val="00073E9A"/>
    <w:rsid w:val="000758C1"/>
    <w:rsid w:val="00077237"/>
    <w:rsid w:val="0007777A"/>
    <w:rsid w:val="00077922"/>
    <w:rsid w:val="00077A41"/>
    <w:rsid w:val="0008143B"/>
    <w:rsid w:val="0008149A"/>
    <w:rsid w:val="00082562"/>
    <w:rsid w:val="00083478"/>
    <w:rsid w:val="0008559D"/>
    <w:rsid w:val="0008679D"/>
    <w:rsid w:val="00086898"/>
    <w:rsid w:val="000871C8"/>
    <w:rsid w:val="00087618"/>
    <w:rsid w:val="0008763F"/>
    <w:rsid w:val="00087999"/>
    <w:rsid w:val="00090461"/>
    <w:rsid w:val="00090B60"/>
    <w:rsid w:val="00091338"/>
    <w:rsid w:val="00091743"/>
    <w:rsid w:val="000926CD"/>
    <w:rsid w:val="00092AAE"/>
    <w:rsid w:val="00092AF2"/>
    <w:rsid w:val="00092DBD"/>
    <w:rsid w:val="000934BD"/>
    <w:rsid w:val="0009374A"/>
    <w:rsid w:val="00093E15"/>
    <w:rsid w:val="00094060"/>
    <w:rsid w:val="00094248"/>
    <w:rsid w:val="00094529"/>
    <w:rsid w:val="00094547"/>
    <w:rsid w:val="0009481F"/>
    <w:rsid w:val="00095085"/>
    <w:rsid w:val="000954C6"/>
    <w:rsid w:val="00095FC2"/>
    <w:rsid w:val="0009649C"/>
    <w:rsid w:val="00096680"/>
    <w:rsid w:val="00096681"/>
    <w:rsid w:val="00096DC9"/>
    <w:rsid w:val="00097D90"/>
    <w:rsid w:val="000A08D2"/>
    <w:rsid w:val="000A0B58"/>
    <w:rsid w:val="000A2703"/>
    <w:rsid w:val="000A28A6"/>
    <w:rsid w:val="000A2D25"/>
    <w:rsid w:val="000A3005"/>
    <w:rsid w:val="000A37FE"/>
    <w:rsid w:val="000A3830"/>
    <w:rsid w:val="000A3A30"/>
    <w:rsid w:val="000A3CDC"/>
    <w:rsid w:val="000A3EEC"/>
    <w:rsid w:val="000A4813"/>
    <w:rsid w:val="000A5C0C"/>
    <w:rsid w:val="000A74D9"/>
    <w:rsid w:val="000A786F"/>
    <w:rsid w:val="000A7B45"/>
    <w:rsid w:val="000A7B91"/>
    <w:rsid w:val="000A7DA5"/>
    <w:rsid w:val="000B0294"/>
    <w:rsid w:val="000B121F"/>
    <w:rsid w:val="000B140C"/>
    <w:rsid w:val="000B1DF1"/>
    <w:rsid w:val="000B227A"/>
    <w:rsid w:val="000B346B"/>
    <w:rsid w:val="000B35DB"/>
    <w:rsid w:val="000B508D"/>
    <w:rsid w:val="000B57F7"/>
    <w:rsid w:val="000B611D"/>
    <w:rsid w:val="000B63DA"/>
    <w:rsid w:val="000B64FA"/>
    <w:rsid w:val="000B6F01"/>
    <w:rsid w:val="000B748F"/>
    <w:rsid w:val="000B7BC1"/>
    <w:rsid w:val="000B7D0E"/>
    <w:rsid w:val="000C0DE7"/>
    <w:rsid w:val="000C0E8D"/>
    <w:rsid w:val="000C1278"/>
    <w:rsid w:val="000C22CA"/>
    <w:rsid w:val="000C24CB"/>
    <w:rsid w:val="000C2EE7"/>
    <w:rsid w:val="000C2FAB"/>
    <w:rsid w:val="000C3C34"/>
    <w:rsid w:val="000C3EF1"/>
    <w:rsid w:val="000C3F73"/>
    <w:rsid w:val="000C422C"/>
    <w:rsid w:val="000C6C8E"/>
    <w:rsid w:val="000D00A7"/>
    <w:rsid w:val="000D0537"/>
    <w:rsid w:val="000D0858"/>
    <w:rsid w:val="000D0A9B"/>
    <w:rsid w:val="000D0B85"/>
    <w:rsid w:val="000D18BD"/>
    <w:rsid w:val="000D373C"/>
    <w:rsid w:val="000D50BC"/>
    <w:rsid w:val="000D634B"/>
    <w:rsid w:val="000D6C1A"/>
    <w:rsid w:val="000D7CB9"/>
    <w:rsid w:val="000D7D53"/>
    <w:rsid w:val="000E123B"/>
    <w:rsid w:val="000E1306"/>
    <w:rsid w:val="000E3328"/>
    <w:rsid w:val="000E3FC2"/>
    <w:rsid w:val="000E458B"/>
    <w:rsid w:val="000E4A37"/>
    <w:rsid w:val="000E5940"/>
    <w:rsid w:val="000E6357"/>
    <w:rsid w:val="000E6A3E"/>
    <w:rsid w:val="000E76FD"/>
    <w:rsid w:val="000F0648"/>
    <w:rsid w:val="000F0C9A"/>
    <w:rsid w:val="000F1047"/>
    <w:rsid w:val="000F1A1B"/>
    <w:rsid w:val="000F1FA8"/>
    <w:rsid w:val="000F21EC"/>
    <w:rsid w:val="000F22A7"/>
    <w:rsid w:val="000F2D14"/>
    <w:rsid w:val="000F30B2"/>
    <w:rsid w:val="000F4334"/>
    <w:rsid w:val="001003D4"/>
    <w:rsid w:val="00101D64"/>
    <w:rsid w:val="00102C61"/>
    <w:rsid w:val="00102F6A"/>
    <w:rsid w:val="001031CD"/>
    <w:rsid w:val="00103377"/>
    <w:rsid w:val="00103F1B"/>
    <w:rsid w:val="00104952"/>
    <w:rsid w:val="00104F2D"/>
    <w:rsid w:val="00105F7B"/>
    <w:rsid w:val="0010613B"/>
    <w:rsid w:val="0010797D"/>
    <w:rsid w:val="00113A54"/>
    <w:rsid w:val="001144F0"/>
    <w:rsid w:val="00115EEF"/>
    <w:rsid w:val="00116747"/>
    <w:rsid w:val="00116AB9"/>
    <w:rsid w:val="001174C8"/>
    <w:rsid w:val="00120381"/>
    <w:rsid w:val="00120429"/>
    <w:rsid w:val="001210B4"/>
    <w:rsid w:val="00123A72"/>
    <w:rsid w:val="00123F76"/>
    <w:rsid w:val="0012429C"/>
    <w:rsid w:val="00124D66"/>
    <w:rsid w:val="00124EE7"/>
    <w:rsid w:val="00125391"/>
    <w:rsid w:val="00125716"/>
    <w:rsid w:val="00125A29"/>
    <w:rsid w:val="00127D57"/>
    <w:rsid w:val="00127F87"/>
    <w:rsid w:val="00130476"/>
    <w:rsid w:val="001309AE"/>
    <w:rsid w:val="00132639"/>
    <w:rsid w:val="00132D34"/>
    <w:rsid w:val="001331ED"/>
    <w:rsid w:val="0013431F"/>
    <w:rsid w:val="0013676E"/>
    <w:rsid w:val="00136974"/>
    <w:rsid w:val="00137F89"/>
    <w:rsid w:val="00140238"/>
    <w:rsid w:val="0014076B"/>
    <w:rsid w:val="00140C06"/>
    <w:rsid w:val="001419F7"/>
    <w:rsid w:val="0014477D"/>
    <w:rsid w:val="00145285"/>
    <w:rsid w:val="001454E8"/>
    <w:rsid w:val="00147419"/>
    <w:rsid w:val="001474B6"/>
    <w:rsid w:val="001479C6"/>
    <w:rsid w:val="0015045A"/>
    <w:rsid w:val="0015097D"/>
    <w:rsid w:val="00151AA6"/>
    <w:rsid w:val="0015206F"/>
    <w:rsid w:val="001554E6"/>
    <w:rsid w:val="00156215"/>
    <w:rsid w:val="00156519"/>
    <w:rsid w:val="00156A0E"/>
    <w:rsid w:val="00156CC6"/>
    <w:rsid w:val="00157034"/>
    <w:rsid w:val="0016067A"/>
    <w:rsid w:val="00161A66"/>
    <w:rsid w:val="001621F6"/>
    <w:rsid w:val="00163885"/>
    <w:rsid w:val="00165FB4"/>
    <w:rsid w:val="001664DB"/>
    <w:rsid w:val="001675B5"/>
    <w:rsid w:val="00167692"/>
    <w:rsid w:val="00167C99"/>
    <w:rsid w:val="00170325"/>
    <w:rsid w:val="00171042"/>
    <w:rsid w:val="00171A66"/>
    <w:rsid w:val="001743F4"/>
    <w:rsid w:val="001748BC"/>
    <w:rsid w:val="00174AE9"/>
    <w:rsid w:val="00174C38"/>
    <w:rsid w:val="00176974"/>
    <w:rsid w:val="001805CD"/>
    <w:rsid w:val="00180FDD"/>
    <w:rsid w:val="00181867"/>
    <w:rsid w:val="00181D55"/>
    <w:rsid w:val="0018200E"/>
    <w:rsid w:val="00182993"/>
    <w:rsid w:val="001833CF"/>
    <w:rsid w:val="00183436"/>
    <w:rsid w:val="00183CE4"/>
    <w:rsid w:val="00183E17"/>
    <w:rsid w:val="00184679"/>
    <w:rsid w:val="00184A82"/>
    <w:rsid w:val="0018559A"/>
    <w:rsid w:val="001856B2"/>
    <w:rsid w:val="00185B1D"/>
    <w:rsid w:val="00185C4D"/>
    <w:rsid w:val="00186F1E"/>
    <w:rsid w:val="00190922"/>
    <w:rsid w:val="00190B5C"/>
    <w:rsid w:val="00190B80"/>
    <w:rsid w:val="00191690"/>
    <w:rsid w:val="00191808"/>
    <w:rsid w:val="00192B9D"/>
    <w:rsid w:val="00193669"/>
    <w:rsid w:val="001938B6"/>
    <w:rsid w:val="00193E59"/>
    <w:rsid w:val="00194459"/>
    <w:rsid w:val="001945F3"/>
    <w:rsid w:val="00194739"/>
    <w:rsid w:val="00194ED3"/>
    <w:rsid w:val="00195D9F"/>
    <w:rsid w:val="00196ADA"/>
    <w:rsid w:val="00196C21"/>
    <w:rsid w:val="00196EC2"/>
    <w:rsid w:val="001978D7"/>
    <w:rsid w:val="001A14C2"/>
    <w:rsid w:val="001A1991"/>
    <w:rsid w:val="001A19BA"/>
    <w:rsid w:val="001A1AA6"/>
    <w:rsid w:val="001A2561"/>
    <w:rsid w:val="001A2D10"/>
    <w:rsid w:val="001A3295"/>
    <w:rsid w:val="001A46D6"/>
    <w:rsid w:val="001A481A"/>
    <w:rsid w:val="001A5995"/>
    <w:rsid w:val="001A607F"/>
    <w:rsid w:val="001A63DC"/>
    <w:rsid w:val="001A64F0"/>
    <w:rsid w:val="001A6CD8"/>
    <w:rsid w:val="001A73DA"/>
    <w:rsid w:val="001A7ED0"/>
    <w:rsid w:val="001B04EA"/>
    <w:rsid w:val="001B07DE"/>
    <w:rsid w:val="001B0810"/>
    <w:rsid w:val="001B12D8"/>
    <w:rsid w:val="001B1536"/>
    <w:rsid w:val="001B2776"/>
    <w:rsid w:val="001B34A6"/>
    <w:rsid w:val="001B4A16"/>
    <w:rsid w:val="001B4B03"/>
    <w:rsid w:val="001B4E2D"/>
    <w:rsid w:val="001B62B8"/>
    <w:rsid w:val="001B6BE5"/>
    <w:rsid w:val="001B72CA"/>
    <w:rsid w:val="001B77A6"/>
    <w:rsid w:val="001C0BD5"/>
    <w:rsid w:val="001C12B1"/>
    <w:rsid w:val="001C14E5"/>
    <w:rsid w:val="001C150B"/>
    <w:rsid w:val="001C18AC"/>
    <w:rsid w:val="001C2C9B"/>
    <w:rsid w:val="001C2D5F"/>
    <w:rsid w:val="001C3135"/>
    <w:rsid w:val="001C37AC"/>
    <w:rsid w:val="001C49BD"/>
    <w:rsid w:val="001C563C"/>
    <w:rsid w:val="001D0C48"/>
    <w:rsid w:val="001D0C77"/>
    <w:rsid w:val="001D0E75"/>
    <w:rsid w:val="001D1ED6"/>
    <w:rsid w:val="001D2180"/>
    <w:rsid w:val="001D2B3D"/>
    <w:rsid w:val="001D389B"/>
    <w:rsid w:val="001D3FCA"/>
    <w:rsid w:val="001D42B8"/>
    <w:rsid w:val="001D499F"/>
    <w:rsid w:val="001D6D72"/>
    <w:rsid w:val="001D7743"/>
    <w:rsid w:val="001D7A24"/>
    <w:rsid w:val="001D7B8E"/>
    <w:rsid w:val="001D7D0C"/>
    <w:rsid w:val="001E1674"/>
    <w:rsid w:val="001E32FD"/>
    <w:rsid w:val="001E3BD8"/>
    <w:rsid w:val="001E4D7E"/>
    <w:rsid w:val="001F03F3"/>
    <w:rsid w:val="001F1060"/>
    <w:rsid w:val="001F1408"/>
    <w:rsid w:val="001F5930"/>
    <w:rsid w:val="001F639F"/>
    <w:rsid w:val="001F676A"/>
    <w:rsid w:val="001F6D6F"/>
    <w:rsid w:val="001F6EA3"/>
    <w:rsid w:val="001F7022"/>
    <w:rsid w:val="001F7659"/>
    <w:rsid w:val="001F76FA"/>
    <w:rsid w:val="002010DD"/>
    <w:rsid w:val="00201F76"/>
    <w:rsid w:val="00203299"/>
    <w:rsid w:val="00203B10"/>
    <w:rsid w:val="00205665"/>
    <w:rsid w:val="00206BE2"/>
    <w:rsid w:val="0021098B"/>
    <w:rsid w:val="00211CA7"/>
    <w:rsid w:val="002132AD"/>
    <w:rsid w:val="00213F1E"/>
    <w:rsid w:val="0021418F"/>
    <w:rsid w:val="00214888"/>
    <w:rsid w:val="002177F6"/>
    <w:rsid w:val="002179F0"/>
    <w:rsid w:val="00217AE7"/>
    <w:rsid w:val="00221714"/>
    <w:rsid w:val="00221DCC"/>
    <w:rsid w:val="002230B9"/>
    <w:rsid w:val="00223834"/>
    <w:rsid w:val="00225238"/>
    <w:rsid w:val="0022537E"/>
    <w:rsid w:val="002255BA"/>
    <w:rsid w:val="00225748"/>
    <w:rsid w:val="00226186"/>
    <w:rsid w:val="00226BA8"/>
    <w:rsid w:val="00230543"/>
    <w:rsid w:val="00231C4A"/>
    <w:rsid w:val="00231CF7"/>
    <w:rsid w:val="00232287"/>
    <w:rsid w:val="00232505"/>
    <w:rsid w:val="00233D68"/>
    <w:rsid w:val="00234058"/>
    <w:rsid w:val="002346C6"/>
    <w:rsid w:val="00235AD1"/>
    <w:rsid w:val="00240A85"/>
    <w:rsid w:val="00242AF4"/>
    <w:rsid w:val="0024319E"/>
    <w:rsid w:val="0024359C"/>
    <w:rsid w:val="00244CF5"/>
    <w:rsid w:val="00245D74"/>
    <w:rsid w:val="00246184"/>
    <w:rsid w:val="00250F1B"/>
    <w:rsid w:val="002528E4"/>
    <w:rsid w:val="00252B2D"/>
    <w:rsid w:val="00253A68"/>
    <w:rsid w:val="002548AB"/>
    <w:rsid w:val="0025539D"/>
    <w:rsid w:val="00255C5C"/>
    <w:rsid w:val="00260C72"/>
    <w:rsid w:val="00260E4F"/>
    <w:rsid w:val="00261362"/>
    <w:rsid w:val="00261C8D"/>
    <w:rsid w:val="00262CB6"/>
    <w:rsid w:val="00262DB6"/>
    <w:rsid w:val="0026382C"/>
    <w:rsid w:val="00263921"/>
    <w:rsid w:val="002643CC"/>
    <w:rsid w:val="00266306"/>
    <w:rsid w:val="0027199D"/>
    <w:rsid w:val="00272AF4"/>
    <w:rsid w:val="00272E68"/>
    <w:rsid w:val="002737E7"/>
    <w:rsid w:val="00274281"/>
    <w:rsid w:val="002742F9"/>
    <w:rsid w:val="00274366"/>
    <w:rsid w:val="002757CD"/>
    <w:rsid w:val="00275A41"/>
    <w:rsid w:val="00275BE8"/>
    <w:rsid w:val="00276669"/>
    <w:rsid w:val="00276837"/>
    <w:rsid w:val="00276EA4"/>
    <w:rsid w:val="00280017"/>
    <w:rsid w:val="0028041D"/>
    <w:rsid w:val="00282BDB"/>
    <w:rsid w:val="00282E68"/>
    <w:rsid w:val="00283109"/>
    <w:rsid w:val="002845CF"/>
    <w:rsid w:val="00285FBB"/>
    <w:rsid w:val="0028682A"/>
    <w:rsid w:val="00287181"/>
    <w:rsid w:val="002874E3"/>
    <w:rsid w:val="00287731"/>
    <w:rsid w:val="00287D94"/>
    <w:rsid w:val="0029220C"/>
    <w:rsid w:val="00292EA2"/>
    <w:rsid w:val="0029316E"/>
    <w:rsid w:val="002933E1"/>
    <w:rsid w:val="00294454"/>
    <w:rsid w:val="00294C4F"/>
    <w:rsid w:val="00294C54"/>
    <w:rsid w:val="00294D24"/>
    <w:rsid w:val="00295523"/>
    <w:rsid w:val="00296624"/>
    <w:rsid w:val="00296FB1"/>
    <w:rsid w:val="002972E3"/>
    <w:rsid w:val="00297E8F"/>
    <w:rsid w:val="002A089A"/>
    <w:rsid w:val="002A1487"/>
    <w:rsid w:val="002A1AA5"/>
    <w:rsid w:val="002A2083"/>
    <w:rsid w:val="002A2966"/>
    <w:rsid w:val="002A3C65"/>
    <w:rsid w:val="002A4635"/>
    <w:rsid w:val="002A4847"/>
    <w:rsid w:val="002A56DB"/>
    <w:rsid w:val="002A577C"/>
    <w:rsid w:val="002A6386"/>
    <w:rsid w:val="002A6E2F"/>
    <w:rsid w:val="002A7184"/>
    <w:rsid w:val="002A71C0"/>
    <w:rsid w:val="002A75AF"/>
    <w:rsid w:val="002A7849"/>
    <w:rsid w:val="002A7D2B"/>
    <w:rsid w:val="002A7D57"/>
    <w:rsid w:val="002B170C"/>
    <w:rsid w:val="002B2C63"/>
    <w:rsid w:val="002B31C2"/>
    <w:rsid w:val="002B3F25"/>
    <w:rsid w:val="002B4482"/>
    <w:rsid w:val="002B54DA"/>
    <w:rsid w:val="002B5B6D"/>
    <w:rsid w:val="002B7BF3"/>
    <w:rsid w:val="002C01FB"/>
    <w:rsid w:val="002C0388"/>
    <w:rsid w:val="002C1431"/>
    <w:rsid w:val="002C18CE"/>
    <w:rsid w:val="002C3AC9"/>
    <w:rsid w:val="002C47D6"/>
    <w:rsid w:val="002C4F9A"/>
    <w:rsid w:val="002C6723"/>
    <w:rsid w:val="002C760B"/>
    <w:rsid w:val="002C7D6A"/>
    <w:rsid w:val="002D0FF1"/>
    <w:rsid w:val="002D14EA"/>
    <w:rsid w:val="002D1A1A"/>
    <w:rsid w:val="002D1EDE"/>
    <w:rsid w:val="002D323E"/>
    <w:rsid w:val="002D3C4B"/>
    <w:rsid w:val="002D453D"/>
    <w:rsid w:val="002D4BC6"/>
    <w:rsid w:val="002D593A"/>
    <w:rsid w:val="002D6E07"/>
    <w:rsid w:val="002D6E3B"/>
    <w:rsid w:val="002D7C2D"/>
    <w:rsid w:val="002D7C50"/>
    <w:rsid w:val="002E0D15"/>
    <w:rsid w:val="002E1292"/>
    <w:rsid w:val="002E1C0B"/>
    <w:rsid w:val="002E20B1"/>
    <w:rsid w:val="002E238C"/>
    <w:rsid w:val="002E3184"/>
    <w:rsid w:val="002E3BE9"/>
    <w:rsid w:val="002E3F1A"/>
    <w:rsid w:val="002E3FAD"/>
    <w:rsid w:val="002E4195"/>
    <w:rsid w:val="002E4458"/>
    <w:rsid w:val="002E4484"/>
    <w:rsid w:val="002E45B4"/>
    <w:rsid w:val="002E4720"/>
    <w:rsid w:val="002E485B"/>
    <w:rsid w:val="002E5E4C"/>
    <w:rsid w:val="002E6474"/>
    <w:rsid w:val="002E6AE2"/>
    <w:rsid w:val="002E7203"/>
    <w:rsid w:val="002E7842"/>
    <w:rsid w:val="002E7AF4"/>
    <w:rsid w:val="002E7BEF"/>
    <w:rsid w:val="002F0028"/>
    <w:rsid w:val="002F09B2"/>
    <w:rsid w:val="002F1227"/>
    <w:rsid w:val="002F1563"/>
    <w:rsid w:val="002F15DC"/>
    <w:rsid w:val="002F1D6B"/>
    <w:rsid w:val="002F248B"/>
    <w:rsid w:val="002F3E8F"/>
    <w:rsid w:val="002F50CC"/>
    <w:rsid w:val="002F5B7D"/>
    <w:rsid w:val="002F6051"/>
    <w:rsid w:val="002F6C4F"/>
    <w:rsid w:val="002F72A9"/>
    <w:rsid w:val="002F7B8D"/>
    <w:rsid w:val="00301646"/>
    <w:rsid w:val="00301C13"/>
    <w:rsid w:val="00302804"/>
    <w:rsid w:val="0030328A"/>
    <w:rsid w:val="00303834"/>
    <w:rsid w:val="00303E72"/>
    <w:rsid w:val="00304739"/>
    <w:rsid w:val="00304FD4"/>
    <w:rsid w:val="00304FFF"/>
    <w:rsid w:val="00305A8A"/>
    <w:rsid w:val="00306ACF"/>
    <w:rsid w:val="003118F2"/>
    <w:rsid w:val="00312059"/>
    <w:rsid w:val="00312556"/>
    <w:rsid w:val="00312BB9"/>
    <w:rsid w:val="00313902"/>
    <w:rsid w:val="0031417F"/>
    <w:rsid w:val="00314418"/>
    <w:rsid w:val="00315319"/>
    <w:rsid w:val="00315429"/>
    <w:rsid w:val="003163D0"/>
    <w:rsid w:val="00316B2C"/>
    <w:rsid w:val="00316FAD"/>
    <w:rsid w:val="0031766E"/>
    <w:rsid w:val="0032016C"/>
    <w:rsid w:val="003201E5"/>
    <w:rsid w:val="00321CEF"/>
    <w:rsid w:val="0032247F"/>
    <w:rsid w:val="00323102"/>
    <w:rsid w:val="0032365A"/>
    <w:rsid w:val="00323C46"/>
    <w:rsid w:val="003254BA"/>
    <w:rsid w:val="00325B45"/>
    <w:rsid w:val="00325F81"/>
    <w:rsid w:val="003261A6"/>
    <w:rsid w:val="003267FD"/>
    <w:rsid w:val="00326C12"/>
    <w:rsid w:val="00327B98"/>
    <w:rsid w:val="00330637"/>
    <w:rsid w:val="003308E4"/>
    <w:rsid w:val="00330ACD"/>
    <w:rsid w:val="003310C8"/>
    <w:rsid w:val="003324B1"/>
    <w:rsid w:val="00332D80"/>
    <w:rsid w:val="00334831"/>
    <w:rsid w:val="00334A0F"/>
    <w:rsid w:val="00334F1A"/>
    <w:rsid w:val="00335193"/>
    <w:rsid w:val="00335BD6"/>
    <w:rsid w:val="003360D2"/>
    <w:rsid w:val="00336D4C"/>
    <w:rsid w:val="00337FED"/>
    <w:rsid w:val="00340959"/>
    <w:rsid w:val="00342313"/>
    <w:rsid w:val="00342C6A"/>
    <w:rsid w:val="003431DF"/>
    <w:rsid w:val="00343A0D"/>
    <w:rsid w:val="00344431"/>
    <w:rsid w:val="00344814"/>
    <w:rsid w:val="003448B6"/>
    <w:rsid w:val="00344A22"/>
    <w:rsid w:val="00345E8D"/>
    <w:rsid w:val="00345FF2"/>
    <w:rsid w:val="00346B3A"/>
    <w:rsid w:val="00346BCA"/>
    <w:rsid w:val="00346DE1"/>
    <w:rsid w:val="00347110"/>
    <w:rsid w:val="00347610"/>
    <w:rsid w:val="00347B49"/>
    <w:rsid w:val="003500E3"/>
    <w:rsid w:val="00350205"/>
    <w:rsid w:val="00350A34"/>
    <w:rsid w:val="00352043"/>
    <w:rsid w:val="003526A6"/>
    <w:rsid w:val="003527E3"/>
    <w:rsid w:val="0035313A"/>
    <w:rsid w:val="003541A1"/>
    <w:rsid w:val="003554C2"/>
    <w:rsid w:val="0035560A"/>
    <w:rsid w:val="003568D9"/>
    <w:rsid w:val="003574FB"/>
    <w:rsid w:val="0036086D"/>
    <w:rsid w:val="00361681"/>
    <w:rsid w:val="0036183A"/>
    <w:rsid w:val="003625B8"/>
    <w:rsid w:val="00362BEA"/>
    <w:rsid w:val="003652F7"/>
    <w:rsid w:val="0036544B"/>
    <w:rsid w:val="0036550E"/>
    <w:rsid w:val="003663BF"/>
    <w:rsid w:val="00366BE1"/>
    <w:rsid w:val="0036720D"/>
    <w:rsid w:val="00370992"/>
    <w:rsid w:val="00371A61"/>
    <w:rsid w:val="00371C7A"/>
    <w:rsid w:val="003728AC"/>
    <w:rsid w:val="00373BDD"/>
    <w:rsid w:val="00373DE2"/>
    <w:rsid w:val="00374E7A"/>
    <w:rsid w:val="00375B32"/>
    <w:rsid w:val="00376076"/>
    <w:rsid w:val="00376706"/>
    <w:rsid w:val="00376A79"/>
    <w:rsid w:val="00376D79"/>
    <w:rsid w:val="0038018D"/>
    <w:rsid w:val="00380538"/>
    <w:rsid w:val="0038071F"/>
    <w:rsid w:val="00380BF9"/>
    <w:rsid w:val="00380D04"/>
    <w:rsid w:val="00380F61"/>
    <w:rsid w:val="003819D1"/>
    <w:rsid w:val="00383A6F"/>
    <w:rsid w:val="00383D77"/>
    <w:rsid w:val="003842DB"/>
    <w:rsid w:val="003851FB"/>
    <w:rsid w:val="003857E0"/>
    <w:rsid w:val="00386B12"/>
    <w:rsid w:val="00387278"/>
    <w:rsid w:val="003874D2"/>
    <w:rsid w:val="003878F9"/>
    <w:rsid w:val="00387F21"/>
    <w:rsid w:val="003921F9"/>
    <w:rsid w:val="003926A7"/>
    <w:rsid w:val="003927FC"/>
    <w:rsid w:val="003940AF"/>
    <w:rsid w:val="0039487E"/>
    <w:rsid w:val="00394EA2"/>
    <w:rsid w:val="0039590F"/>
    <w:rsid w:val="003969FA"/>
    <w:rsid w:val="00396E7C"/>
    <w:rsid w:val="00396F2A"/>
    <w:rsid w:val="003A19B8"/>
    <w:rsid w:val="003A1F3B"/>
    <w:rsid w:val="003A513B"/>
    <w:rsid w:val="003A5194"/>
    <w:rsid w:val="003A5DBA"/>
    <w:rsid w:val="003A61FF"/>
    <w:rsid w:val="003A7585"/>
    <w:rsid w:val="003A7881"/>
    <w:rsid w:val="003A79C4"/>
    <w:rsid w:val="003B0021"/>
    <w:rsid w:val="003B1161"/>
    <w:rsid w:val="003B17A8"/>
    <w:rsid w:val="003B214B"/>
    <w:rsid w:val="003B292F"/>
    <w:rsid w:val="003B302F"/>
    <w:rsid w:val="003B3165"/>
    <w:rsid w:val="003B32AA"/>
    <w:rsid w:val="003B4E71"/>
    <w:rsid w:val="003C0861"/>
    <w:rsid w:val="003C0E12"/>
    <w:rsid w:val="003C3E06"/>
    <w:rsid w:val="003C3E6E"/>
    <w:rsid w:val="003C4813"/>
    <w:rsid w:val="003C49A4"/>
    <w:rsid w:val="003C585A"/>
    <w:rsid w:val="003C6545"/>
    <w:rsid w:val="003C65CF"/>
    <w:rsid w:val="003C6A05"/>
    <w:rsid w:val="003C7652"/>
    <w:rsid w:val="003C790D"/>
    <w:rsid w:val="003D104A"/>
    <w:rsid w:val="003D13EB"/>
    <w:rsid w:val="003D187D"/>
    <w:rsid w:val="003D236E"/>
    <w:rsid w:val="003D45D7"/>
    <w:rsid w:val="003D4D80"/>
    <w:rsid w:val="003D4FA3"/>
    <w:rsid w:val="003D5069"/>
    <w:rsid w:val="003D581F"/>
    <w:rsid w:val="003D5AD3"/>
    <w:rsid w:val="003D7E83"/>
    <w:rsid w:val="003E01D8"/>
    <w:rsid w:val="003E01E8"/>
    <w:rsid w:val="003E081E"/>
    <w:rsid w:val="003E1369"/>
    <w:rsid w:val="003E2F7A"/>
    <w:rsid w:val="003E372C"/>
    <w:rsid w:val="003E479E"/>
    <w:rsid w:val="003E6284"/>
    <w:rsid w:val="003E6DB7"/>
    <w:rsid w:val="003E6F74"/>
    <w:rsid w:val="003E78F3"/>
    <w:rsid w:val="003E7DF3"/>
    <w:rsid w:val="003E7ECC"/>
    <w:rsid w:val="003F0051"/>
    <w:rsid w:val="003F00AF"/>
    <w:rsid w:val="003F14FD"/>
    <w:rsid w:val="003F1805"/>
    <w:rsid w:val="003F1CDF"/>
    <w:rsid w:val="003F2866"/>
    <w:rsid w:val="003F4CDA"/>
    <w:rsid w:val="003F538D"/>
    <w:rsid w:val="003F574D"/>
    <w:rsid w:val="003F5866"/>
    <w:rsid w:val="003F6BAD"/>
    <w:rsid w:val="003F6D97"/>
    <w:rsid w:val="003F6FE3"/>
    <w:rsid w:val="004011C0"/>
    <w:rsid w:val="00401B3C"/>
    <w:rsid w:val="00404782"/>
    <w:rsid w:val="00405564"/>
    <w:rsid w:val="00405CB6"/>
    <w:rsid w:val="00405E00"/>
    <w:rsid w:val="00406B61"/>
    <w:rsid w:val="00407D80"/>
    <w:rsid w:val="004112C4"/>
    <w:rsid w:val="00411751"/>
    <w:rsid w:val="00411CF7"/>
    <w:rsid w:val="00412520"/>
    <w:rsid w:val="004128AA"/>
    <w:rsid w:val="0041377F"/>
    <w:rsid w:val="004151E6"/>
    <w:rsid w:val="00416E45"/>
    <w:rsid w:val="00417365"/>
    <w:rsid w:val="0041783E"/>
    <w:rsid w:val="004179FC"/>
    <w:rsid w:val="00417C0D"/>
    <w:rsid w:val="00420BD2"/>
    <w:rsid w:val="00421E2A"/>
    <w:rsid w:val="00422546"/>
    <w:rsid w:val="004227A5"/>
    <w:rsid w:val="00422AD9"/>
    <w:rsid w:val="00423111"/>
    <w:rsid w:val="00423C4C"/>
    <w:rsid w:val="00426684"/>
    <w:rsid w:val="00431CC6"/>
    <w:rsid w:val="004325FA"/>
    <w:rsid w:val="0043292E"/>
    <w:rsid w:val="004335D7"/>
    <w:rsid w:val="00433655"/>
    <w:rsid w:val="00435079"/>
    <w:rsid w:val="00435D29"/>
    <w:rsid w:val="00435FCB"/>
    <w:rsid w:val="00436741"/>
    <w:rsid w:val="004367DF"/>
    <w:rsid w:val="00437327"/>
    <w:rsid w:val="00437F5C"/>
    <w:rsid w:val="004406AA"/>
    <w:rsid w:val="004421EF"/>
    <w:rsid w:val="00443ECC"/>
    <w:rsid w:val="0044608F"/>
    <w:rsid w:val="00446125"/>
    <w:rsid w:val="004464F2"/>
    <w:rsid w:val="0045020A"/>
    <w:rsid w:val="0045075C"/>
    <w:rsid w:val="00450DA5"/>
    <w:rsid w:val="00451808"/>
    <w:rsid w:val="00451BB7"/>
    <w:rsid w:val="00452152"/>
    <w:rsid w:val="004551C8"/>
    <w:rsid w:val="004560F4"/>
    <w:rsid w:val="00456C42"/>
    <w:rsid w:val="00456D70"/>
    <w:rsid w:val="00457B5A"/>
    <w:rsid w:val="00461628"/>
    <w:rsid w:val="00461A76"/>
    <w:rsid w:val="0046214D"/>
    <w:rsid w:val="004624FE"/>
    <w:rsid w:val="00462F93"/>
    <w:rsid w:val="00463328"/>
    <w:rsid w:val="00463849"/>
    <w:rsid w:val="00464303"/>
    <w:rsid w:val="004645B7"/>
    <w:rsid w:val="00464B98"/>
    <w:rsid w:val="00464CBE"/>
    <w:rsid w:val="00464EA7"/>
    <w:rsid w:val="00466119"/>
    <w:rsid w:val="0046747F"/>
    <w:rsid w:val="004676AE"/>
    <w:rsid w:val="004702BD"/>
    <w:rsid w:val="00470546"/>
    <w:rsid w:val="00470CC6"/>
    <w:rsid w:val="004716EE"/>
    <w:rsid w:val="00472CA2"/>
    <w:rsid w:val="00472E23"/>
    <w:rsid w:val="004737CA"/>
    <w:rsid w:val="00475723"/>
    <w:rsid w:val="00475BB4"/>
    <w:rsid w:val="00475EBE"/>
    <w:rsid w:val="00476877"/>
    <w:rsid w:val="004776E2"/>
    <w:rsid w:val="00477835"/>
    <w:rsid w:val="00480012"/>
    <w:rsid w:val="00481211"/>
    <w:rsid w:val="004817E9"/>
    <w:rsid w:val="00481A57"/>
    <w:rsid w:val="00481ABB"/>
    <w:rsid w:val="00481E0D"/>
    <w:rsid w:val="00481FD3"/>
    <w:rsid w:val="00482C24"/>
    <w:rsid w:val="00482CBB"/>
    <w:rsid w:val="00482DB8"/>
    <w:rsid w:val="00482F82"/>
    <w:rsid w:val="004830C2"/>
    <w:rsid w:val="0048478E"/>
    <w:rsid w:val="0048480C"/>
    <w:rsid w:val="004855EF"/>
    <w:rsid w:val="004856F0"/>
    <w:rsid w:val="004864FE"/>
    <w:rsid w:val="00486ADA"/>
    <w:rsid w:val="00487871"/>
    <w:rsid w:val="00487FF5"/>
    <w:rsid w:val="00490789"/>
    <w:rsid w:val="00490DC1"/>
    <w:rsid w:val="00491C13"/>
    <w:rsid w:val="00492121"/>
    <w:rsid w:val="00494067"/>
    <w:rsid w:val="00494516"/>
    <w:rsid w:val="00494FD4"/>
    <w:rsid w:val="00495FE1"/>
    <w:rsid w:val="004963E8"/>
    <w:rsid w:val="00496AA1"/>
    <w:rsid w:val="00496C65"/>
    <w:rsid w:val="004971FE"/>
    <w:rsid w:val="00497905"/>
    <w:rsid w:val="004A1076"/>
    <w:rsid w:val="004A3FC7"/>
    <w:rsid w:val="004A4762"/>
    <w:rsid w:val="004A4872"/>
    <w:rsid w:val="004A4B7A"/>
    <w:rsid w:val="004A5A37"/>
    <w:rsid w:val="004A5D75"/>
    <w:rsid w:val="004A5E43"/>
    <w:rsid w:val="004A6FD0"/>
    <w:rsid w:val="004B187D"/>
    <w:rsid w:val="004B1982"/>
    <w:rsid w:val="004B1E2C"/>
    <w:rsid w:val="004B2AE5"/>
    <w:rsid w:val="004B30DE"/>
    <w:rsid w:val="004B3231"/>
    <w:rsid w:val="004B4BCB"/>
    <w:rsid w:val="004B5141"/>
    <w:rsid w:val="004B66AA"/>
    <w:rsid w:val="004B75E4"/>
    <w:rsid w:val="004C02E5"/>
    <w:rsid w:val="004C12D1"/>
    <w:rsid w:val="004C16DF"/>
    <w:rsid w:val="004C18C5"/>
    <w:rsid w:val="004C1C31"/>
    <w:rsid w:val="004C2656"/>
    <w:rsid w:val="004C2BD9"/>
    <w:rsid w:val="004C3034"/>
    <w:rsid w:val="004C3618"/>
    <w:rsid w:val="004C3763"/>
    <w:rsid w:val="004C3CFA"/>
    <w:rsid w:val="004C43EC"/>
    <w:rsid w:val="004C4535"/>
    <w:rsid w:val="004C4BED"/>
    <w:rsid w:val="004C4E56"/>
    <w:rsid w:val="004C5298"/>
    <w:rsid w:val="004C5DD0"/>
    <w:rsid w:val="004C757F"/>
    <w:rsid w:val="004C7850"/>
    <w:rsid w:val="004C79F7"/>
    <w:rsid w:val="004D0206"/>
    <w:rsid w:val="004D083C"/>
    <w:rsid w:val="004D09BF"/>
    <w:rsid w:val="004D10D7"/>
    <w:rsid w:val="004D1150"/>
    <w:rsid w:val="004D2093"/>
    <w:rsid w:val="004D2467"/>
    <w:rsid w:val="004D2A5C"/>
    <w:rsid w:val="004D3116"/>
    <w:rsid w:val="004D3118"/>
    <w:rsid w:val="004D388E"/>
    <w:rsid w:val="004D441C"/>
    <w:rsid w:val="004D4B8A"/>
    <w:rsid w:val="004D62C0"/>
    <w:rsid w:val="004D631A"/>
    <w:rsid w:val="004D762A"/>
    <w:rsid w:val="004D7E29"/>
    <w:rsid w:val="004E054C"/>
    <w:rsid w:val="004E2251"/>
    <w:rsid w:val="004E2414"/>
    <w:rsid w:val="004E26F6"/>
    <w:rsid w:val="004E2C73"/>
    <w:rsid w:val="004E3C37"/>
    <w:rsid w:val="004E4B60"/>
    <w:rsid w:val="004E5638"/>
    <w:rsid w:val="004E5A7A"/>
    <w:rsid w:val="004E66AC"/>
    <w:rsid w:val="004E722E"/>
    <w:rsid w:val="004E72CD"/>
    <w:rsid w:val="004E7E0B"/>
    <w:rsid w:val="004F0FE7"/>
    <w:rsid w:val="004F13FA"/>
    <w:rsid w:val="004F294D"/>
    <w:rsid w:val="004F2EE0"/>
    <w:rsid w:val="004F3E1D"/>
    <w:rsid w:val="004F471F"/>
    <w:rsid w:val="004F4ACA"/>
    <w:rsid w:val="004F4B90"/>
    <w:rsid w:val="004F5158"/>
    <w:rsid w:val="004F5F6F"/>
    <w:rsid w:val="004F64B6"/>
    <w:rsid w:val="004F6865"/>
    <w:rsid w:val="004F76C7"/>
    <w:rsid w:val="004F7FF4"/>
    <w:rsid w:val="00500AFB"/>
    <w:rsid w:val="00500CD7"/>
    <w:rsid w:val="00500D10"/>
    <w:rsid w:val="005025BA"/>
    <w:rsid w:val="00502C52"/>
    <w:rsid w:val="00503375"/>
    <w:rsid w:val="00503D67"/>
    <w:rsid w:val="0050468A"/>
    <w:rsid w:val="00504AE6"/>
    <w:rsid w:val="00505073"/>
    <w:rsid w:val="005063B8"/>
    <w:rsid w:val="00506F80"/>
    <w:rsid w:val="00507BB2"/>
    <w:rsid w:val="00510BE5"/>
    <w:rsid w:val="00510EA2"/>
    <w:rsid w:val="00511200"/>
    <w:rsid w:val="00511CFA"/>
    <w:rsid w:val="00512DFC"/>
    <w:rsid w:val="00513B44"/>
    <w:rsid w:val="005142AD"/>
    <w:rsid w:val="005145DD"/>
    <w:rsid w:val="005149F2"/>
    <w:rsid w:val="005166EF"/>
    <w:rsid w:val="00517DFD"/>
    <w:rsid w:val="00520A7F"/>
    <w:rsid w:val="00520EA4"/>
    <w:rsid w:val="0052105B"/>
    <w:rsid w:val="00521BEE"/>
    <w:rsid w:val="00522011"/>
    <w:rsid w:val="00522832"/>
    <w:rsid w:val="00523954"/>
    <w:rsid w:val="005245B1"/>
    <w:rsid w:val="00524D80"/>
    <w:rsid w:val="0052571A"/>
    <w:rsid w:val="00525982"/>
    <w:rsid w:val="00525A79"/>
    <w:rsid w:val="00526428"/>
    <w:rsid w:val="00526717"/>
    <w:rsid w:val="0052733C"/>
    <w:rsid w:val="00527B7D"/>
    <w:rsid w:val="005308AF"/>
    <w:rsid w:val="005312AA"/>
    <w:rsid w:val="005314CB"/>
    <w:rsid w:val="005318F6"/>
    <w:rsid w:val="0053210E"/>
    <w:rsid w:val="00532B96"/>
    <w:rsid w:val="005337F6"/>
    <w:rsid w:val="00534B6D"/>
    <w:rsid w:val="00535189"/>
    <w:rsid w:val="00535643"/>
    <w:rsid w:val="00535BAC"/>
    <w:rsid w:val="0053616C"/>
    <w:rsid w:val="00537360"/>
    <w:rsid w:val="00537588"/>
    <w:rsid w:val="005375C2"/>
    <w:rsid w:val="00540CA9"/>
    <w:rsid w:val="00540CE0"/>
    <w:rsid w:val="00541219"/>
    <w:rsid w:val="00541523"/>
    <w:rsid w:val="005416AC"/>
    <w:rsid w:val="0054417B"/>
    <w:rsid w:val="0054434C"/>
    <w:rsid w:val="005443DC"/>
    <w:rsid w:val="00544B8B"/>
    <w:rsid w:val="005454BB"/>
    <w:rsid w:val="0054556C"/>
    <w:rsid w:val="00545651"/>
    <w:rsid w:val="00545B53"/>
    <w:rsid w:val="005467C7"/>
    <w:rsid w:val="00547B7B"/>
    <w:rsid w:val="00550BE3"/>
    <w:rsid w:val="00551BB7"/>
    <w:rsid w:val="0055262A"/>
    <w:rsid w:val="00553734"/>
    <w:rsid w:val="005546EA"/>
    <w:rsid w:val="00554CA8"/>
    <w:rsid w:val="005553D1"/>
    <w:rsid w:val="005553F6"/>
    <w:rsid w:val="0055552D"/>
    <w:rsid w:val="00555F70"/>
    <w:rsid w:val="005561E3"/>
    <w:rsid w:val="00556564"/>
    <w:rsid w:val="00556921"/>
    <w:rsid w:val="00556C7B"/>
    <w:rsid w:val="0055765B"/>
    <w:rsid w:val="00557BCD"/>
    <w:rsid w:val="005601FC"/>
    <w:rsid w:val="0056058D"/>
    <w:rsid w:val="0056066A"/>
    <w:rsid w:val="00561B72"/>
    <w:rsid w:val="005632B3"/>
    <w:rsid w:val="00563F23"/>
    <w:rsid w:val="0056735C"/>
    <w:rsid w:val="00567C7C"/>
    <w:rsid w:val="00567CD5"/>
    <w:rsid w:val="00567DFF"/>
    <w:rsid w:val="00571435"/>
    <w:rsid w:val="005728AF"/>
    <w:rsid w:val="0057313C"/>
    <w:rsid w:val="00573523"/>
    <w:rsid w:val="00573610"/>
    <w:rsid w:val="00573CCE"/>
    <w:rsid w:val="00575A10"/>
    <w:rsid w:val="00576150"/>
    <w:rsid w:val="00576246"/>
    <w:rsid w:val="00576750"/>
    <w:rsid w:val="0058030D"/>
    <w:rsid w:val="00580422"/>
    <w:rsid w:val="00581834"/>
    <w:rsid w:val="00581F4E"/>
    <w:rsid w:val="0058209F"/>
    <w:rsid w:val="00582595"/>
    <w:rsid w:val="005832B5"/>
    <w:rsid w:val="005839D2"/>
    <w:rsid w:val="005840EC"/>
    <w:rsid w:val="00584D08"/>
    <w:rsid w:val="005869B3"/>
    <w:rsid w:val="00587D7F"/>
    <w:rsid w:val="005902C4"/>
    <w:rsid w:val="00590441"/>
    <w:rsid w:val="00590618"/>
    <w:rsid w:val="005911E7"/>
    <w:rsid w:val="00591F76"/>
    <w:rsid w:val="00592809"/>
    <w:rsid w:val="00593099"/>
    <w:rsid w:val="00593A39"/>
    <w:rsid w:val="00594902"/>
    <w:rsid w:val="00595B80"/>
    <w:rsid w:val="005969FC"/>
    <w:rsid w:val="00596DF3"/>
    <w:rsid w:val="00596EBC"/>
    <w:rsid w:val="005A259B"/>
    <w:rsid w:val="005A2992"/>
    <w:rsid w:val="005A30DF"/>
    <w:rsid w:val="005A371B"/>
    <w:rsid w:val="005A4AF8"/>
    <w:rsid w:val="005A4F46"/>
    <w:rsid w:val="005A51CD"/>
    <w:rsid w:val="005A6465"/>
    <w:rsid w:val="005A6DB5"/>
    <w:rsid w:val="005A7BD3"/>
    <w:rsid w:val="005B0011"/>
    <w:rsid w:val="005B04AB"/>
    <w:rsid w:val="005B22DF"/>
    <w:rsid w:val="005B25B8"/>
    <w:rsid w:val="005B34EE"/>
    <w:rsid w:val="005B4D33"/>
    <w:rsid w:val="005B52D4"/>
    <w:rsid w:val="005B52FB"/>
    <w:rsid w:val="005B62E8"/>
    <w:rsid w:val="005B7626"/>
    <w:rsid w:val="005C0D99"/>
    <w:rsid w:val="005C11E4"/>
    <w:rsid w:val="005C270A"/>
    <w:rsid w:val="005C2753"/>
    <w:rsid w:val="005C2EA0"/>
    <w:rsid w:val="005C2F46"/>
    <w:rsid w:val="005C3017"/>
    <w:rsid w:val="005C375B"/>
    <w:rsid w:val="005C3C8F"/>
    <w:rsid w:val="005C3DA3"/>
    <w:rsid w:val="005C3FF5"/>
    <w:rsid w:val="005C43DB"/>
    <w:rsid w:val="005C47B7"/>
    <w:rsid w:val="005C49EC"/>
    <w:rsid w:val="005C4B0B"/>
    <w:rsid w:val="005C4DBB"/>
    <w:rsid w:val="005C507A"/>
    <w:rsid w:val="005C555F"/>
    <w:rsid w:val="005C58B8"/>
    <w:rsid w:val="005C7938"/>
    <w:rsid w:val="005D02B0"/>
    <w:rsid w:val="005D040A"/>
    <w:rsid w:val="005D19FE"/>
    <w:rsid w:val="005D1CEF"/>
    <w:rsid w:val="005D2712"/>
    <w:rsid w:val="005D2732"/>
    <w:rsid w:val="005D2B0D"/>
    <w:rsid w:val="005D34E4"/>
    <w:rsid w:val="005D3A98"/>
    <w:rsid w:val="005D4C8A"/>
    <w:rsid w:val="005D63EA"/>
    <w:rsid w:val="005D6595"/>
    <w:rsid w:val="005D7FB8"/>
    <w:rsid w:val="005E0D8E"/>
    <w:rsid w:val="005E0DD0"/>
    <w:rsid w:val="005E111B"/>
    <w:rsid w:val="005E11C7"/>
    <w:rsid w:val="005E19AE"/>
    <w:rsid w:val="005E1E27"/>
    <w:rsid w:val="005E20C0"/>
    <w:rsid w:val="005E2138"/>
    <w:rsid w:val="005E2172"/>
    <w:rsid w:val="005E3CE4"/>
    <w:rsid w:val="005E4CFF"/>
    <w:rsid w:val="005E4E4A"/>
    <w:rsid w:val="005E4F84"/>
    <w:rsid w:val="005E5FEF"/>
    <w:rsid w:val="005E6D61"/>
    <w:rsid w:val="005E6EAC"/>
    <w:rsid w:val="005E795C"/>
    <w:rsid w:val="005E7C99"/>
    <w:rsid w:val="005F0C8D"/>
    <w:rsid w:val="005F1129"/>
    <w:rsid w:val="005F31D6"/>
    <w:rsid w:val="005F3523"/>
    <w:rsid w:val="005F60A7"/>
    <w:rsid w:val="005F7105"/>
    <w:rsid w:val="006009AA"/>
    <w:rsid w:val="00601C67"/>
    <w:rsid w:val="00602AEB"/>
    <w:rsid w:val="006035A2"/>
    <w:rsid w:val="006041E5"/>
    <w:rsid w:val="0060453F"/>
    <w:rsid w:val="0060556D"/>
    <w:rsid w:val="00605D45"/>
    <w:rsid w:val="00607209"/>
    <w:rsid w:val="00607213"/>
    <w:rsid w:val="00607CEC"/>
    <w:rsid w:val="0061069E"/>
    <w:rsid w:val="00611DA2"/>
    <w:rsid w:val="0061245B"/>
    <w:rsid w:val="006124E4"/>
    <w:rsid w:val="00612BDB"/>
    <w:rsid w:val="00612CC6"/>
    <w:rsid w:val="00613926"/>
    <w:rsid w:val="00613CE6"/>
    <w:rsid w:val="00613DE5"/>
    <w:rsid w:val="00613DF8"/>
    <w:rsid w:val="006144A1"/>
    <w:rsid w:val="0061488E"/>
    <w:rsid w:val="006151B6"/>
    <w:rsid w:val="00615A54"/>
    <w:rsid w:val="00616E14"/>
    <w:rsid w:val="00616F33"/>
    <w:rsid w:val="0061753A"/>
    <w:rsid w:val="00617B79"/>
    <w:rsid w:val="00620B53"/>
    <w:rsid w:val="00620ED4"/>
    <w:rsid w:val="006215B9"/>
    <w:rsid w:val="006219A4"/>
    <w:rsid w:val="00621D55"/>
    <w:rsid w:val="006230FF"/>
    <w:rsid w:val="00623E1E"/>
    <w:rsid w:val="00624147"/>
    <w:rsid w:val="006249ED"/>
    <w:rsid w:val="0062691E"/>
    <w:rsid w:val="00627E40"/>
    <w:rsid w:val="006302DA"/>
    <w:rsid w:val="00630601"/>
    <w:rsid w:val="00630A83"/>
    <w:rsid w:val="00631612"/>
    <w:rsid w:val="00633BAC"/>
    <w:rsid w:val="00634389"/>
    <w:rsid w:val="00634BCB"/>
    <w:rsid w:val="00634DE0"/>
    <w:rsid w:val="006351CF"/>
    <w:rsid w:val="00635605"/>
    <w:rsid w:val="00635951"/>
    <w:rsid w:val="00635B87"/>
    <w:rsid w:val="00635FC0"/>
    <w:rsid w:val="0063632C"/>
    <w:rsid w:val="00640071"/>
    <w:rsid w:val="006405AB"/>
    <w:rsid w:val="006411F2"/>
    <w:rsid w:val="00642F4D"/>
    <w:rsid w:val="006431C0"/>
    <w:rsid w:val="006432D3"/>
    <w:rsid w:val="00643742"/>
    <w:rsid w:val="006438CB"/>
    <w:rsid w:val="006438E1"/>
    <w:rsid w:val="0064498C"/>
    <w:rsid w:val="00644F1F"/>
    <w:rsid w:val="0064558E"/>
    <w:rsid w:val="00645977"/>
    <w:rsid w:val="00645DCA"/>
    <w:rsid w:val="00646437"/>
    <w:rsid w:val="00646570"/>
    <w:rsid w:val="006476A0"/>
    <w:rsid w:val="0064776E"/>
    <w:rsid w:val="00647CC2"/>
    <w:rsid w:val="00647FDF"/>
    <w:rsid w:val="006504F6"/>
    <w:rsid w:val="006506CD"/>
    <w:rsid w:val="006508F8"/>
    <w:rsid w:val="00651152"/>
    <w:rsid w:val="00651A64"/>
    <w:rsid w:val="00652416"/>
    <w:rsid w:val="00654A02"/>
    <w:rsid w:val="00655276"/>
    <w:rsid w:val="00655805"/>
    <w:rsid w:val="0065611B"/>
    <w:rsid w:val="00657D32"/>
    <w:rsid w:val="00661D36"/>
    <w:rsid w:val="006629E5"/>
    <w:rsid w:val="00662B2C"/>
    <w:rsid w:val="00664643"/>
    <w:rsid w:val="0066479A"/>
    <w:rsid w:val="006649FF"/>
    <w:rsid w:val="0066606B"/>
    <w:rsid w:val="00666164"/>
    <w:rsid w:val="0067050A"/>
    <w:rsid w:val="00670A05"/>
    <w:rsid w:val="00670A71"/>
    <w:rsid w:val="006711A5"/>
    <w:rsid w:val="00671BA2"/>
    <w:rsid w:val="006722F8"/>
    <w:rsid w:val="006729C2"/>
    <w:rsid w:val="00672E18"/>
    <w:rsid w:val="00672EDB"/>
    <w:rsid w:val="006736D6"/>
    <w:rsid w:val="00675471"/>
    <w:rsid w:val="00675EA1"/>
    <w:rsid w:val="00676259"/>
    <w:rsid w:val="006777ED"/>
    <w:rsid w:val="00681722"/>
    <w:rsid w:val="00683168"/>
    <w:rsid w:val="006838D8"/>
    <w:rsid w:val="00684167"/>
    <w:rsid w:val="00685322"/>
    <w:rsid w:val="0068595D"/>
    <w:rsid w:val="00685DDC"/>
    <w:rsid w:val="0068632C"/>
    <w:rsid w:val="00686838"/>
    <w:rsid w:val="00686B93"/>
    <w:rsid w:val="00686D69"/>
    <w:rsid w:val="00686F37"/>
    <w:rsid w:val="0068744C"/>
    <w:rsid w:val="006879B2"/>
    <w:rsid w:val="006905AB"/>
    <w:rsid w:val="00690C92"/>
    <w:rsid w:val="00691E97"/>
    <w:rsid w:val="0069212D"/>
    <w:rsid w:val="00692CB0"/>
    <w:rsid w:val="00693D71"/>
    <w:rsid w:val="00694885"/>
    <w:rsid w:val="006953D1"/>
    <w:rsid w:val="00695665"/>
    <w:rsid w:val="00695E4D"/>
    <w:rsid w:val="006965C2"/>
    <w:rsid w:val="00696B98"/>
    <w:rsid w:val="00697100"/>
    <w:rsid w:val="00697809"/>
    <w:rsid w:val="006A1E92"/>
    <w:rsid w:val="006A207E"/>
    <w:rsid w:val="006A3676"/>
    <w:rsid w:val="006A3BE6"/>
    <w:rsid w:val="006A467B"/>
    <w:rsid w:val="006A4A2F"/>
    <w:rsid w:val="006A66BA"/>
    <w:rsid w:val="006A6E13"/>
    <w:rsid w:val="006A79B7"/>
    <w:rsid w:val="006B13A9"/>
    <w:rsid w:val="006B185A"/>
    <w:rsid w:val="006B3DD5"/>
    <w:rsid w:val="006B43A4"/>
    <w:rsid w:val="006B51FF"/>
    <w:rsid w:val="006B5E67"/>
    <w:rsid w:val="006B64A5"/>
    <w:rsid w:val="006B7951"/>
    <w:rsid w:val="006C08FE"/>
    <w:rsid w:val="006C0ADE"/>
    <w:rsid w:val="006C0B3B"/>
    <w:rsid w:val="006C1BAC"/>
    <w:rsid w:val="006C1DDB"/>
    <w:rsid w:val="006C1E27"/>
    <w:rsid w:val="006C24F4"/>
    <w:rsid w:val="006C2905"/>
    <w:rsid w:val="006C4124"/>
    <w:rsid w:val="006C465F"/>
    <w:rsid w:val="006C472F"/>
    <w:rsid w:val="006C52C7"/>
    <w:rsid w:val="006C611C"/>
    <w:rsid w:val="006C62BF"/>
    <w:rsid w:val="006C6D95"/>
    <w:rsid w:val="006D03CA"/>
    <w:rsid w:val="006D1042"/>
    <w:rsid w:val="006D1106"/>
    <w:rsid w:val="006D1212"/>
    <w:rsid w:val="006D1341"/>
    <w:rsid w:val="006D25E1"/>
    <w:rsid w:val="006D3E6C"/>
    <w:rsid w:val="006D42FF"/>
    <w:rsid w:val="006D488B"/>
    <w:rsid w:val="006D52B9"/>
    <w:rsid w:val="006D5C09"/>
    <w:rsid w:val="006D5CB3"/>
    <w:rsid w:val="006D76A3"/>
    <w:rsid w:val="006E03CF"/>
    <w:rsid w:val="006E0670"/>
    <w:rsid w:val="006E1CEF"/>
    <w:rsid w:val="006E23A1"/>
    <w:rsid w:val="006E2543"/>
    <w:rsid w:val="006E2EEC"/>
    <w:rsid w:val="006E3163"/>
    <w:rsid w:val="006E4977"/>
    <w:rsid w:val="006E64BB"/>
    <w:rsid w:val="006E6720"/>
    <w:rsid w:val="006E78B2"/>
    <w:rsid w:val="006F1981"/>
    <w:rsid w:val="006F1B8B"/>
    <w:rsid w:val="006F1E52"/>
    <w:rsid w:val="006F2172"/>
    <w:rsid w:val="006F28F5"/>
    <w:rsid w:val="006F3FA1"/>
    <w:rsid w:val="006F4A83"/>
    <w:rsid w:val="006F5B3E"/>
    <w:rsid w:val="006F6E8F"/>
    <w:rsid w:val="006F7A43"/>
    <w:rsid w:val="006F7E72"/>
    <w:rsid w:val="007004B2"/>
    <w:rsid w:val="00700553"/>
    <w:rsid w:val="00701172"/>
    <w:rsid w:val="00702E4C"/>
    <w:rsid w:val="00702F57"/>
    <w:rsid w:val="00704804"/>
    <w:rsid w:val="00704D60"/>
    <w:rsid w:val="00705152"/>
    <w:rsid w:val="00705176"/>
    <w:rsid w:val="00710CD7"/>
    <w:rsid w:val="0071138C"/>
    <w:rsid w:val="00712E21"/>
    <w:rsid w:val="007135FF"/>
    <w:rsid w:val="007142A2"/>
    <w:rsid w:val="0071458F"/>
    <w:rsid w:val="00714735"/>
    <w:rsid w:val="00714920"/>
    <w:rsid w:val="00714ACC"/>
    <w:rsid w:val="00715E7C"/>
    <w:rsid w:val="00716BBD"/>
    <w:rsid w:val="007176C0"/>
    <w:rsid w:val="00717840"/>
    <w:rsid w:val="00717BFC"/>
    <w:rsid w:val="00720067"/>
    <w:rsid w:val="00720913"/>
    <w:rsid w:val="007216AF"/>
    <w:rsid w:val="0072355F"/>
    <w:rsid w:val="00724CAD"/>
    <w:rsid w:val="0072521C"/>
    <w:rsid w:val="00725259"/>
    <w:rsid w:val="0072530F"/>
    <w:rsid w:val="00725BB0"/>
    <w:rsid w:val="00726162"/>
    <w:rsid w:val="007263EF"/>
    <w:rsid w:val="00726494"/>
    <w:rsid w:val="0072666D"/>
    <w:rsid w:val="007307AA"/>
    <w:rsid w:val="007314C7"/>
    <w:rsid w:val="00733136"/>
    <w:rsid w:val="00733B08"/>
    <w:rsid w:val="00734B24"/>
    <w:rsid w:val="00735007"/>
    <w:rsid w:val="00736045"/>
    <w:rsid w:val="00736703"/>
    <w:rsid w:val="007368CB"/>
    <w:rsid w:val="00736BE7"/>
    <w:rsid w:val="00737909"/>
    <w:rsid w:val="00737BA2"/>
    <w:rsid w:val="007404C4"/>
    <w:rsid w:val="0074063A"/>
    <w:rsid w:val="00740A12"/>
    <w:rsid w:val="00740C65"/>
    <w:rsid w:val="00742992"/>
    <w:rsid w:val="00742ACA"/>
    <w:rsid w:val="00742CC5"/>
    <w:rsid w:val="00744048"/>
    <w:rsid w:val="00744BA5"/>
    <w:rsid w:val="007456FC"/>
    <w:rsid w:val="007465DF"/>
    <w:rsid w:val="00746CFA"/>
    <w:rsid w:val="0074797C"/>
    <w:rsid w:val="007501EF"/>
    <w:rsid w:val="0075128A"/>
    <w:rsid w:val="0075157C"/>
    <w:rsid w:val="00751701"/>
    <w:rsid w:val="00752234"/>
    <w:rsid w:val="00752756"/>
    <w:rsid w:val="007528F6"/>
    <w:rsid w:val="00752B13"/>
    <w:rsid w:val="00752BBC"/>
    <w:rsid w:val="007532D1"/>
    <w:rsid w:val="00753BF5"/>
    <w:rsid w:val="00753F6C"/>
    <w:rsid w:val="00755631"/>
    <w:rsid w:val="00755635"/>
    <w:rsid w:val="00756883"/>
    <w:rsid w:val="00756902"/>
    <w:rsid w:val="00756F24"/>
    <w:rsid w:val="007570B6"/>
    <w:rsid w:val="00757105"/>
    <w:rsid w:val="00757C08"/>
    <w:rsid w:val="00757DF8"/>
    <w:rsid w:val="0076035C"/>
    <w:rsid w:val="00760B62"/>
    <w:rsid w:val="00760E18"/>
    <w:rsid w:val="007614E9"/>
    <w:rsid w:val="0076155D"/>
    <w:rsid w:val="007618E6"/>
    <w:rsid w:val="00761ED7"/>
    <w:rsid w:val="00762508"/>
    <w:rsid w:val="00763439"/>
    <w:rsid w:val="00764753"/>
    <w:rsid w:val="00764826"/>
    <w:rsid w:val="00765C31"/>
    <w:rsid w:val="007670A0"/>
    <w:rsid w:val="00767D40"/>
    <w:rsid w:val="00770047"/>
    <w:rsid w:val="0077039D"/>
    <w:rsid w:val="007705B7"/>
    <w:rsid w:val="00772127"/>
    <w:rsid w:val="0077260F"/>
    <w:rsid w:val="00774C1B"/>
    <w:rsid w:val="00774F69"/>
    <w:rsid w:val="007764BB"/>
    <w:rsid w:val="00780322"/>
    <w:rsid w:val="00781C84"/>
    <w:rsid w:val="0078363C"/>
    <w:rsid w:val="00784491"/>
    <w:rsid w:val="007846E7"/>
    <w:rsid w:val="00785083"/>
    <w:rsid w:val="00785B41"/>
    <w:rsid w:val="00786A54"/>
    <w:rsid w:val="00786E3E"/>
    <w:rsid w:val="00787173"/>
    <w:rsid w:val="00787AFC"/>
    <w:rsid w:val="007906D7"/>
    <w:rsid w:val="00790EDF"/>
    <w:rsid w:val="00791103"/>
    <w:rsid w:val="00792F15"/>
    <w:rsid w:val="007932A4"/>
    <w:rsid w:val="00793736"/>
    <w:rsid w:val="007942BE"/>
    <w:rsid w:val="00794FF2"/>
    <w:rsid w:val="007978DB"/>
    <w:rsid w:val="00797BB8"/>
    <w:rsid w:val="007A08E4"/>
    <w:rsid w:val="007A1852"/>
    <w:rsid w:val="007A1B8F"/>
    <w:rsid w:val="007A2A81"/>
    <w:rsid w:val="007A3010"/>
    <w:rsid w:val="007A30B6"/>
    <w:rsid w:val="007A48F5"/>
    <w:rsid w:val="007A4D5B"/>
    <w:rsid w:val="007A4F63"/>
    <w:rsid w:val="007A582D"/>
    <w:rsid w:val="007A63D7"/>
    <w:rsid w:val="007A6A91"/>
    <w:rsid w:val="007A6C27"/>
    <w:rsid w:val="007A7355"/>
    <w:rsid w:val="007A75DE"/>
    <w:rsid w:val="007A77C0"/>
    <w:rsid w:val="007A7881"/>
    <w:rsid w:val="007A7A81"/>
    <w:rsid w:val="007B2248"/>
    <w:rsid w:val="007B27AC"/>
    <w:rsid w:val="007B31E4"/>
    <w:rsid w:val="007B397A"/>
    <w:rsid w:val="007B484B"/>
    <w:rsid w:val="007B48FB"/>
    <w:rsid w:val="007B5BA8"/>
    <w:rsid w:val="007B63D6"/>
    <w:rsid w:val="007C2B4F"/>
    <w:rsid w:val="007C38F5"/>
    <w:rsid w:val="007C3A4F"/>
    <w:rsid w:val="007C5A37"/>
    <w:rsid w:val="007C62D0"/>
    <w:rsid w:val="007C62E1"/>
    <w:rsid w:val="007C6E3B"/>
    <w:rsid w:val="007C7074"/>
    <w:rsid w:val="007C74CF"/>
    <w:rsid w:val="007D050D"/>
    <w:rsid w:val="007D099A"/>
    <w:rsid w:val="007D1A3D"/>
    <w:rsid w:val="007D38F9"/>
    <w:rsid w:val="007D395E"/>
    <w:rsid w:val="007D3C12"/>
    <w:rsid w:val="007D3F4D"/>
    <w:rsid w:val="007D411B"/>
    <w:rsid w:val="007D5CBC"/>
    <w:rsid w:val="007D6534"/>
    <w:rsid w:val="007D6A51"/>
    <w:rsid w:val="007D7DFF"/>
    <w:rsid w:val="007E01A8"/>
    <w:rsid w:val="007E052A"/>
    <w:rsid w:val="007E26FF"/>
    <w:rsid w:val="007E3303"/>
    <w:rsid w:val="007E38BF"/>
    <w:rsid w:val="007E3BE2"/>
    <w:rsid w:val="007E4105"/>
    <w:rsid w:val="007E4170"/>
    <w:rsid w:val="007E50F1"/>
    <w:rsid w:val="007E5368"/>
    <w:rsid w:val="007E5725"/>
    <w:rsid w:val="007E599D"/>
    <w:rsid w:val="007E5F0E"/>
    <w:rsid w:val="007E6360"/>
    <w:rsid w:val="007E63BC"/>
    <w:rsid w:val="007E7040"/>
    <w:rsid w:val="007E7F25"/>
    <w:rsid w:val="007F158A"/>
    <w:rsid w:val="007F1AA9"/>
    <w:rsid w:val="007F3AA7"/>
    <w:rsid w:val="007F3F83"/>
    <w:rsid w:val="007F6CEB"/>
    <w:rsid w:val="007F6E05"/>
    <w:rsid w:val="007F6E7B"/>
    <w:rsid w:val="007F768C"/>
    <w:rsid w:val="007F7C13"/>
    <w:rsid w:val="00800CC8"/>
    <w:rsid w:val="00800F17"/>
    <w:rsid w:val="00801566"/>
    <w:rsid w:val="00801A42"/>
    <w:rsid w:val="00801C06"/>
    <w:rsid w:val="00802D08"/>
    <w:rsid w:val="0080483A"/>
    <w:rsid w:val="008064FD"/>
    <w:rsid w:val="00806EC1"/>
    <w:rsid w:val="0080768A"/>
    <w:rsid w:val="0081034B"/>
    <w:rsid w:val="008106C2"/>
    <w:rsid w:val="00810D01"/>
    <w:rsid w:val="00811B51"/>
    <w:rsid w:val="00811F16"/>
    <w:rsid w:val="00812051"/>
    <w:rsid w:val="00812D3D"/>
    <w:rsid w:val="00814176"/>
    <w:rsid w:val="008148D7"/>
    <w:rsid w:val="00815705"/>
    <w:rsid w:val="00815A87"/>
    <w:rsid w:val="00815E6F"/>
    <w:rsid w:val="00816B45"/>
    <w:rsid w:val="008174F7"/>
    <w:rsid w:val="00817AF5"/>
    <w:rsid w:val="00820122"/>
    <w:rsid w:val="00822689"/>
    <w:rsid w:val="00822972"/>
    <w:rsid w:val="00823295"/>
    <w:rsid w:val="008236BD"/>
    <w:rsid w:val="00823954"/>
    <w:rsid w:val="008246D1"/>
    <w:rsid w:val="008247E6"/>
    <w:rsid w:val="00825B09"/>
    <w:rsid w:val="00826927"/>
    <w:rsid w:val="00827753"/>
    <w:rsid w:val="00827DB9"/>
    <w:rsid w:val="00830489"/>
    <w:rsid w:val="00830DF4"/>
    <w:rsid w:val="00830F50"/>
    <w:rsid w:val="008311C9"/>
    <w:rsid w:val="00831FF8"/>
    <w:rsid w:val="008321BF"/>
    <w:rsid w:val="00832BCE"/>
    <w:rsid w:val="00834104"/>
    <w:rsid w:val="00835965"/>
    <w:rsid w:val="00836CC8"/>
    <w:rsid w:val="008412E9"/>
    <w:rsid w:val="00841A85"/>
    <w:rsid w:val="00842917"/>
    <w:rsid w:val="0084327E"/>
    <w:rsid w:val="00843D81"/>
    <w:rsid w:val="00844C3D"/>
    <w:rsid w:val="008469B3"/>
    <w:rsid w:val="008470AD"/>
    <w:rsid w:val="008473D2"/>
    <w:rsid w:val="0084768E"/>
    <w:rsid w:val="00852860"/>
    <w:rsid w:val="00852E7E"/>
    <w:rsid w:val="00853AC9"/>
    <w:rsid w:val="00853BB2"/>
    <w:rsid w:val="0085424B"/>
    <w:rsid w:val="008566FE"/>
    <w:rsid w:val="00856E0D"/>
    <w:rsid w:val="00860972"/>
    <w:rsid w:val="008614E7"/>
    <w:rsid w:val="00865A9E"/>
    <w:rsid w:val="00865D8B"/>
    <w:rsid w:val="008662B7"/>
    <w:rsid w:val="00866591"/>
    <w:rsid w:val="0086674F"/>
    <w:rsid w:val="00866B9F"/>
    <w:rsid w:val="00867071"/>
    <w:rsid w:val="0086781F"/>
    <w:rsid w:val="00867D36"/>
    <w:rsid w:val="008719A3"/>
    <w:rsid w:val="00871A0B"/>
    <w:rsid w:val="00871C6E"/>
    <w:rsid w:val="00872BDF"/>
    <w:rsid w:val="00872D5F"/>
    <w:rsid w:val="00872F08"/>
    <w:rsid w:val="00872FC5"/>
    <w:rsid w:val="00873186"/>
    <w:rsid w:val="00875259"/>
    <w:rsid w:val="0087593B"/>
    <w:rsid w:val="00876E63"/>
    <w:rsid w:val="008805A0"/>
    <w:rsid w:val="00880A54"/>
    <w:rsid w:val="00881023"/>
    <w:rsid w:val="00882834"/>
    <w:rsid w:val="00883D8A"/>
    <w:rsid w:val="00883F72"/>
    <w:rsid w:val="0088460E"/>
    <w:rsid w:val="00884ABB"/>
    <w:rsid w:val="008852E3"/>
    <w:rsid w:val="00885EEC"/>
    <w:rsid w:val="00886276"/>
    <w:rsid w:val="008870AC"/>
    <w:rsid w:val="00890DF8"/>
    <w:rsid w:val="008916F6"/>
    <w:rsid w:val="00891D48"/>
    <w:rsid w:val="00893DAE"/>
    <w:rsid w:val="00894481"/>
    <w:rsid w:val="008948FE"/>
    <w:rsid w:val="00896229"/>
    <w:rsid w:val="00896ED1"/>
    <w:rsid w:val="0089722E"/>
    <w:rsid w:val="0089757F"/>
    <w:rsid w:val="00897DC2"/>
    <w:rsid w:val="00897FBB"/>
    <w:rsid w:val="008A0123"/>
    <w:rsid w:val="008A0406"/>
    <w:rsid w:val="008A06C7"/>
    <w:rsid w:val="008A1275"/>
    <w:rsid w:val="008A17FD"/>
    <w:rsid w:val="008A1AD9"/>
    <w:rsid w:val="008A25DB"/>
    <w:rsid w:val="008A2C5B"/>
    <w:rsid w:val="008A3765"/>
    <w:rsid w:val="008A3786"/>
    <w:rsid w:val="008A3E0E"/>
    <w:rsid w:val="008A47E3"/>
    <w:rsid w:val="008A4A0F"/>
    <w:rsid w:val="008A4D8F"/>
    <w:rsid w:val="008A53DD"/>
    <w:rsid w:val="008A559F"/>
    <w:rsid w:val="008A7BF3"/>
    <w:rsid w:val="008A7E31"/>
    <w:rsid w:val="008B009F"/>
    <w:rsid w:val="008B1AD2"/>
    <w:rsid w:val="008B1BF3"/>
    <w:rsid w:val="008B2978"/>
    <w:rsid w:val="008B396D"/>
    <w:rsid w:val="008B3BD7"/>
    <w:rsid w:val="008B5282"/>
    <w:rsid w:val="008B58EA"/>
    <w:rsid w:val="008B6548"/>
    <w:rsid w:val="008B7D83"/>
    <w:rsid w:val="008C01A5"/>
    <w:rsid w:val="008C0A49"/>
    <w:rsid w:val="008C218F"/>
    <w:rsid w:val="008C24D6"/>
    <w:rsid w:val="008C2A0C"/>
    <w:rsid w:val="008C3F08"/>
    <w:rsid w:val="008C4842"/>
    <w:rsid w:val="008C536A"/>
    <w:rsid w:val="008C53DA"/>
    <w:rsid w:val="008C5567"/>
    <w:rsid w:val="008C7B6C"/>
    <w:rsid w:val="008D0180"/>
    <w:rsid w:val="008D0C76"/>
    <w:rsid w:val="008D16A8"/>
    <w:rsid w:val="008D17E2"/>
    <w:rsid w:val="008D1924"/>
    <w:rsid w:val="008D1BAE"/>
    <w:rsid w:val="008D4D6E"/>
    <w:rsid w:val="008D55F0"/>
    <w:rsid w:val="008D593A"/>
    <w:rsid w:val="008D6493"/>
    <w:rsid w:val="008D6CE6"/>
    <w:rsid w:val="008D7614"/>
    <w:rsid w:val="008D7689"/>
    <w:rsid w:val="008E0122"/>
    <w:rsid w:val="008E13E9"/>
    <w:rsid w:val="008E15C6"/>
    <w:rsid w:val="008E18DC"/>
    <w:rsid w:val="008E2355"/>
    <w:rsid w:val="008E39B3"/>
    <w:rsid w:val="008E41CB"/>
    <w:rsid w:val="008E4702"/>
    <w:rsid w:val="008E5D7A"/>
    <w:rsid w:val="008E654F"/>
    <w:rsid w:val="008E6ADD"/>
    <w:rsid w:val="008F00E3"/>
    <w:rsid w:val="008F0C52"/>
    <w:rsid w:val="008F2435"/>
    <w:rsid w:val="008F271B"/>
    <w:rsid w:val="008F4516"/>
    <w:rsid w:val="008F4677"/>
    <w:rsid w:val="008F5518"/>
    <w:rsid w:val="008F5F04"/>
    <w:rsid w:val="008F60BA"/>
    <w:rsid w:val="008F6227"/>
    <w:rsid w:val="008F6BD1"/>
    <w:rsid w:val="008F6E7C"/>
    <w:rsid w:val="008F74DF"/>
    <w:rsid w:val="008F78CB"/>
    <w:rsid w:val="008F79AE"/>
    <w:rsid w:val="00900809"/>
    <w:rsid w:val="00900D19"/>
    <w:rsid w:val="00900F86"/>
    <w:rsid w:val="0090403D"/>
    <w:rsid w:val="009047D7"/>
    <w:rsid w:val="009048D7"/>
    <w:rsid w:val="00905E97"/>
    <w:rsid w:val="00906833"/>
    <w:rsid w:val="0090699F"/>
    <w:rsid w:val="00907051"/>
    <w:rsid w:val="009072E6"/>
    <w:rsid w:val="009075A3"/>
    <w:rsid w:val="00911B62"/>
    <w:rsid w:val="00912718"/>
    <w:rsid w:val="009137CE"/>
    <w:rsid w:val="009145D8"/>
    <w:rsid w:val="00915805"/>
    <w:rsid w:val="00915A9C"/>
    <w:rsid w:val="00916E9C"/>
    <w:rsid w:val="00916FEA"/>
    <w:rsid w:val="00920232"/>
    <w:rsid w:val="00922058"/>
    <w:rsid w:val="00923AA8"/>
    <w:rsid w:val="00923FE8"/>
    <w:rsid w:val="00924776"/>
    <w:rsid w:val="00924A69"/>
    <w:rsid w:val="009267F1"/>
    <w:rsid w:val="00931616"/>
    <w:rsid w:val="00932B82"/>
    <w:rsid w:val="009330E6"/>
    <w:rsid w:val="00933FF6"/>
    <w:rsid w:val="00934F23"/>
    <w:rsid w:val="009355A1"/>
    <w:rsid w:val="009358E9"/>
    <w:rsid w:val="00935CE8"/>
    <w:rsid w:val="00935E0D"/>
    <w:rsid w:val="00936694"/>
    <w:rsid w:val="00936B22"/>
    <w:rsid w:val="00936F0E"/>
    <w:rsid w:val="00937C7E"/>
    <w:rsid w:val="00937E1D"/>
    <w:rsid w:val="00940628"/>
    <w:rsid w:val="009418E9"/>
    <w:rsid w:val="00943580"/>
    <w:rsid w:val="0094406A"/>
    <w:rsid w:val="00944151"/>
    <w:rsid w:val="00944E25"/>
    <w:rsid w:val="00945C46"/>
    <w:rsid w:val="00946529"/>
    <w:rsid w:val="00946E94"/>
    <w:rsid w:val="009474A7"/>
    <w:rsid w:val="00947B9F"/>
    <w:rsid w:val="009519E2"/>
    <w:rsid w:val="00952085"/>
    <w:rsid w:val="00953823"/>
    <w:rsid w:val="00954F66"/>
    <w:rsid w:val="0095534C"/>
    <w:rsid w:val="009564D5"/>
    <w:rsid w:val="009569C1"/>
    <w:rsid w:val="00957443"/>
    <w:rsid w:val="00957F2C"/>
    <w:rsid w:val="00960011"/>
    <w:rsid w:val="009609D5"/>
    <w:rsid w:val="00962BB9"/>
    <w:rsid w:val="00962C1C"/>
    <w:rsid w:val="00963073"/>
    <w:rsid w:val="00963883"/>
    <w:rsid w:val="00964154"/>
    <w:rsid w:val="00964F3A"/>
    <w:rsid w:val="009652D5"/>
    <w:rsid w:val="00965390"/>
    <w:rsid w:val="009659D5"/>
    <w:rsid w:val="00965DFE"/>
    <w:rsid w:val="00965F9E"/>
    <w:rsid w:val="009662A7"/>
    <w:rsid w:val="009663BD"/>
    <w:rsid w:val="00966FB0"/>
    <w:rsid w:val="00967219"/>
    <w:rsid w:val="009703C4"/>
    <w:rsid w:val="00970B46"/>
    <w:rsid w:val="009740D7"/>
    <w:rsid w:val="0097487F"/>
    <w:rsid w:val="00974AF2"/>
    <w:rsid w:val="00974C81"/>
    <w:rsid w:val="00974D3A"/>
    <w:rsid w:val="0097537E"/>
    <w:rsid w:val="00975C48"/>
    <w:rsid w:val="00977119"/>
    <w:rsid w:val="00977390"/>
    <w:rsid w:val="00982A32"/>
    <w:rsid w:val="00982A98"/>
    <w:rsid w:val="009835E3"/>
    <w:rsid w:val="00983654"/>
    <w:rsid w:val="00983F1A"/>
    <w:rsid w:val="00984237"/>
    <w:rsid w:val="00985C69"/>
    <w:rsid w:val="009861F9"/>
    <w:rsid w:val="0098715D"/>
    <w:rsid w:val="0098720B"/>
    <w:rsid w:val="009879B9"/>
    <w:rsid w:val="00987BBD"/>
    <w:rsid w:val="00990359"/>
    <w:rsid w:val="00991279"/>
    <w:rsid w:val="009925FC"/>
    <w:rsid w:val="00992685"/>
    <w:rsid w:val="00992892"/>
    <w:rsid w:val="009952AD"/>
    <w:rsid w:val="0099544B"/>
    <w:rsid w:val="0099704C"/>
    <w:rsid w:val="00997B03"/>
    <w:rsid w:val="00997BB0"/>
    <w:rsid w:val="009A0F45"/>
    <w:rsid w:val="009A265C"/>
    <w:rsid w:val="009A2A48"/>
    <w:rsid w:val="009A3B60"/>
    <w:rsid w:val="009A4955"/>
    <w:rsid w:val="009A49BE"/>
    <w:rsid w:val="009A50CD"/>
    <w:rsid w:val="009A5703"/>
    <w:rsid w:val="009A5CCA"/>
    <w:rsid w:val="009A6B5C"/>
    <w:rsid w:val="009A6DAE"/>
    <w:rsid w:val="009A6EF8"/>
    <w:rsid w:val="009A6F59"/>
    <w:rsid w:val="009B0955"/>
    <w:rsid w:val="009B09CA"/>
    <w:rsid w:val="009B2B19"/>
    <w:rsid w:val="009B2EF1"/>
    <w:rsid w:val="009B42ED"/>
    <w:rsid w:val="009B49B9"/>
    <w:rsid w:val="009B4A1C"/>
    <w:rsid w:val="009B54E3"/>
    <w:rsid w:val="009B57E8"/>
    <w:rsid w:val="009B643B"/>
    <w:rsid w:val="009B7001"/>
    <w:rsid w:val="009B71E4"/>
    <w:rsid w:val="009B7729"/>
    <w:rsid w:val="009C03F9"/>
    <w:rsid w:val="009C1297"/>
    <w:rsid w:val="009C139B"/>
    <w:rsid w:val="009C2217"/>
    <w:rsid w:val="009C351B"/>
    <w:rsid w:val="009C35DD"/>
    <w:rsid w:val="009C49BC"/>
    <w:rsid w:val="009C5A1D"/>
    <w:rsid w:val="009C6237"/>
    <w:rsid w:val="009C7CE8"/>
    <w:rsid w:val="009D040B"/>
    <w:rsid w:val="009D0633"/>
    <w:rsid w:val="009D09A9"/>
    <w:rsid w:val="009D1A77"/>
    <w:rsid w:val="009D21A4"/>
    <w:rsid w:val="009D2B30"/>
    <w:rsid w:val="009D3033"/>
    <w:rsid w:val="009D4CC4"/>
    <w:rsid w:val="009D53C0"/>
    <w:rsid w:val="009D5F36"/>
    <w:rsid w:val="009D64B8"/>
    <w:rsid w:val="009E0255"/>
    <w:rsid w:val="009E04CF"/>
    <w:rsid w:val="009E04DB"/>
    <w:rsid w:val="009E06BD"/>
    <w:rsid w:val="009E2388"/>
    <w:rsid w:val="009E3165"/>
    <w:rsid w:val="009E3D48"/>
    <w:rsid w:val="009E45FE"/>
    <w:rsid w:val="009E4FD2"/>
    <w:rsid w:val="009E575D"/>
    <w:rsid w:val="009E5EFF"/>
    <w:rsid w:val="009E60B4"/>
    <w:rsid w:val="009E62E9"/>
    <w:rsid w:val="009E660A"/>
    <w:rsid w:val="009E6C55"/>
    <w:rsid w:val="009E73C1"/>
    <w:rsid w:val="009E759F"/>
    <w:rsid w:val="009F0D06"/>
    <w:rsid w:val="009F2F13"/>
    <w:rsid w:val="009F36C8"/>
    <w:rsid w:val="009F405B"/>
    <w:rsid w:val="009F41B2"/>
    <w:rsid w:val="009F44E3"/>
    <w:rsid w:val="009F4EE4"/>
    <w:rsid w:val="009F4F53"/>
    <w:rsid w:val="009F52C2"/>
    <w:rsid w:val="009F5EA7"/>
    <w:rsid w:val="009F62E1"/>
    <w:rsid w:val="009F6F1B"/>
    <w:rsid w:val="00A006D8"/>
    <w:rsid w:val="00A01262"/>
    <w:rsid w:val="00A01AF2"/>
    <w:rsid w:val="00A01D7C"/>
    <w:rsid w:val="00A03097"/>
    <w:rsid w:val="00A047EA"/>
    <w:rsid w:val="00A06A80"/>
    <w:rsid w:val="00A0714A"/>
    <w:rsid w:val="00A07406"/>
    <w:rsid w:val="00A07769"/>
    <w:rsid w:val="00A10D87"/>
    <w:rsid w:val="00A10FC4"/>
    <w:rsid w:val="00A11196"/>
    <w:rsid w:val="00A1206D"/>
    <w:rsid w:val="00A13AC1"/>
    <w:rsid w:val="00A13BBC"/>
    <w:rsid w:val="00A154A1"/>
    <w:rsid w:val="00A158BF"/>
    <w:rsid w:val="00A1598F"/>
    <w:rsid w:val="00A17267"/>
    <w:rsid w:val="00A206AC"/>
    <w:rsid w:val="00A207E5"/>
    <w:rsid w:val="00A20805"/>
    <w:rsid w:val="00A21A44"/>
    <w:rsid w:val="00A228A6"/>
    <w:rsid w:val="00A22FDB"/>
    <w:rsid w:val="00A23920"/>
    <w:rsid w:val="00A25396"/>
    <w:rsid w:val="00A26087"/>
    <w:rsid w:val="00A275EB"/>
    <w:rsid w:val="00A27621"/>
    <w:rsid w:val="00A277C9"/>
    <w:rsid w:val="00A305B3"/>
    <w:rsid w:val="00A30E58"/>
    <w:rsid w:val="00A31383"/>
    <w:rsid w:val="00A31944"/>
    <w:rsid w:val="00A31CCA"/>
    <w:rsid w:val="00A34ACA"/>
    <w:rsid w:val="00A34F91"/>
    <w:rsid w:val="00A35803"/>
    <w:rsid w:val="00A36A71"/>
    <w:rsid w:val="00A36F49"/>
    <w:rsid w:val="00A37D06"/>
    <w:rsid w:val="00A40C97"/>
    <w:rsid w:val="00A40F2C"/>
    <w:rsid w:val="00A4380D"/>
    <w:rsid w:val="00A43F00"/>
    <w:rsid w:val="00A4568D"/>
    <w:rsid w:val="00A470B4"/>
    <w:rsid w:val="00A470F8"/>
    <w:rsid w:val="00A47393"/>
    <w:rsid w:val="00A50456"/>
    <w:rsid w:val="00A50C99"/>
    <w:rsid w:val="00A5147F"/>
    <w:rsid w:val="00A52516"/>
    <w:rsid w:val="00A536E5"/>
    <w:rsid w:val="00A53FA0"/>
    <w:rsid w:val="00A54264"/>
    <w:rsid w:val="00A55528"/>
    <w:rsid w:val="00A563BC"/>
    <w:rsid w:val="00A56F78"/>
    <w:rsid w:val="00A57045"/>
    <w:rsid w:val="00A5754A"/>
    <w:rsid w:val="00A57A8C"/>
    <w:rsid w:val="00A63064"/>
    <w:rsid w:val="00A64917"/>
    <w:rsid w:val="00A64BC0"/>
    <w:rsid w:val="00A65282"/>
    <w:rsid w:val="00A66165"/>
    <w:rsid w:val="00A6718B"/>
    <w:rsid w:val="00A67EB5"/>
    <w:rsid w:val="00A70CE6"/>
    <w:rsid w:val="00A70EEE"/>
    <w:rsid w:val="00A710FF"/>
    <w:rsid w:val="00A71987"/>
    <w:rsid w:val="00A71DAE"/>
    <w:rsid w:val="00A72028"/>
    <w:rsid w:val="00A72510"/>
    <w:rsid w:val="00A72604"/>
    <w:rsid w:val="00A73188"/>
    <w:rsid w:val="00A734AF"/>
    <w:rsid w:val="00A73536"/>
    <w:rsid w:val="00A73C5C"/>
    <w:rsid w:val="00A74DC1"/>
    <w:rsid w:val="00A755AD"/>
    <w:rsid w:val="00A75877"/>
    <w:rsid w:val="00A7689D"/>
    <w:rsid w:val="00A77082"/>
    <w:rsid w:val="00A77DFD"/>
    <w:rsid w:val="00A77EB6"/>
    <w:rsid w:val="00A77F5D"/>
    <w:rsid w:val="00A814FF"/>
    <w:rsid w:val="00A8184A"/>
    <w:rsid w:val="00A81EB5"/>
    <w:rsid w:val="00A81F01"/>
    <w:rsid w:val="00A8205D"/>
    <w:rsid w:val="00A82094"/>
    <w:rsid w:val="00A820DE"/>
    <w:rsid w:val="00A82C41"/>
    <w:rsid w:val="00A830CF"/>
    <w:rsid w:val="00A83BBC"/>
    <w:rsid w:val="00A83D43"/>
    <w:rsid w:val="00A83E6C"/>
    <w:rsid w:val="00A84BB2"/>
    <w:rsid w:val="00A850FD"/>
    <w:rsid w:val="00A85B2B"/>
    <w:rsid w:val="00A911E0"/>
    <w:rsid w:val="00A926DA"/>
    <w:rsid w:val="00A9295D"/>
    <w:rsid w:val="00A93561"/>
    <w:rsid w:val="00A94439"/>
    <w:rsid w:val="00A94956"/>
    <w:rsid w:val="00A9556D"/>
    <w:rsid w:val="00A95A26"/>
    <w:rsid w:val="00A96A83"/>
    <w:rsid w:val="00A96CF5"/>
    <w:rsid w:val="00A97252"/>
    <w:rsid w:val="00AA1134"/>
    <w:rsid w:val="00AA1B8C"/>
    <w:rsid w:val="00AA227D"/>
    <w:rsid w:val="00AA22F3"/>
    <w:rsid w:val="00AA252C"/>
    <w:rsid w:val="00AA2A6F"/>
    <w:rsid w:val="00AA4B81"/>
    <w:rsid w:val="00AA531C"/>
    <w:rsid w:val="00AA75E4"/>
    <w:rsid w:val="00AB0034"/>
    <w:rsid w:val="00AB0103"/>
    <w:rsid w:val="00AB03BC"/>
    <w:rsid w:val="00AB05C8"/>
    <w:rsid w:val="00AB085D"/>
    <w:rsid w:val="00AB117D"/>
    <w:rsid w:val="00AB14C7"/>
    <w:rsid w:val="00AB2004"/>
    <w:rsid w:val="00AB591E"/>
    <w:rsid w:val="00AB6994"/>
    <w:rsid w:val="00AB6C58"/>
    <w:rsid w:val="00AC04D1"/>
    <w:rsid w:val="00AC0BE9"/>
    <w:rsid w:val="00AC27D3"/>
    <w:rsid w:val="00AC3806"/>
    <w:rsid w:val="00AC3C9E"/>
    <w:rsid w:val="00AC429A"/>
    <w:rsid w:val="00AC448B"/>
    <w:rsid w:val="00AC56D1"/>
    <w:rsid w:val="00AC636D"/>
    <w:rsid w:val="00AC682C"/>
    <w:rsid w:val="00AC6CA4"/>
    <w:rsid w:val="00AC72D1"/>
    <w:rsid w:val="00AD06BC"/>
    <w:rsid w:val="00AD0DD7"/>
    <w:rsid w:val="00AD0E00"/>
    <w:rsid w:val="00AD0F6B"/>
    <w:rsid w:val="00AD19C2"/>
    <w:rsid w:val="00AD3BD0"/>
    <w:rsid w:val="00AD3F7F"/>
    <w:rsid w:val="00AD4344"/>
    <w:rsid w:val="00AD455A"/>
    <w:rsid w:val="00AD4C9E"/>
    <w:rsid w:val="00AD64C5"/>
    <w:rsid w:val="00AD674C"/>
    <w:rsid w:val="00AD6C92"/>
    <w:rsid w:val="00AD6E16"/>
    <w:rsid w:val="00AE0AA9"/>
    <w:rsid w:val="00AE0D29"/>
    <w:rsid w:val="00AE0F29"/>
    <w:rsid w:val="00AE138B"/>
    <w:rsid w:val="00AE1C53"/>
    <w:rsid w:val="00AE22BE"/>
    <w:rsid w:val="00AE23A8"/>
    <w:rsid w:val="00AE2AED"/>
    <w:rsid w:val="00AE323E"/>
    <w:rsid w:val="00AE3705"/>
    <w:rsid w:val="00AE3D2D"/>
    <w:rsid w:val="00AE4240"/>
    <w:rsid w:val="00AE47C1"/>
    <w:rsid w:val="00AE500F"/>
    <w:rsid w:val="00AE560C"/>
    <w:rsid w:val="00AE5A9A"/>
    <w:rsid w:val="00AE5AE4"/>
    <w:rsid w:val="00AE6015"/>
    <w:rsid w:val="00AE618C"/>
    <w:rsid w:val="00AE63F2"/>
    <w:rsid w:val="00AE6A74"/>
    <w:rsid w:val="00AE6C07"/>
    <w:rsid w:val="00AF0ECC"/>
    <w:rsid w:val="00AF2A63"/>
    <w:rsid w:val="00AF2E8D"/>
    <w:rsid w:val="00AF3A21"/>
    <w:rsid w:val="00AF535B"/>
    <w:rsid w:val="00AF536A"/>
    <w:rsid w:val="00AF5E34"/>
    <w:rsid w:val="00AF69EE"/>
    <w:rsid w:val="00AF7190"/>
    <w:rsid w:val="00B00133"/>
    <w:rsid w:val="00B00B65"/>
    <w:rsid w:val="00B01FA9"/>
    <w:rsid w:val="00B02090"/>
    <w:rsid w:val="00B02117"/>
    <w:rsid w:val="00B0360C"/>
    <w:rsid w:val="00B03CF8"/>
    <w:rsid w:val="00B051FC"/>
    <w:rsid w:val="00B054A2"/>
    <w:rsid w:val="00B065FA"/>
    <w:rsid w:val="00B067D5"/>
    <w:rsid w:val="00B06ADC"/>
    <w:rsid w:val="00B07152"/>
    <w:rsid w:val="00B0743F"/>
    <w:rsid w:val="00B0777C"/>
    <w:rsid w:val="00B07CF0"/>
    <w:rsid w:val="00B1152D"/>
    <w:rsid w:val="00B1229C"/>
    <w:rsid w:val="00B12AC0"/>
    <w:rsid w:val="00B132D2"/>
    <w:rsid w:val="00B1391E"/>
    <w:rsid w:val="00B13EC7"/>
    <w:rsid w:val="00B14BDD"/>
    <w:rsid w:val="00B15E99"/>
    <w:rsid w:val="00B16C9E"/>
    <w:rsid w:val="00B16F23"/>
    <w:rsid w:val="00B16F9F"/>
    <w:rsid w:val="00B17F25"/>
    <w:rsid w:val="00B20540"/>
    <w:rsid w:val="00B2082E"/>
    <w:rsid w:val="00B2101E"/>
    <w:rsid w:val="00B220B0"/>
    <w:rsid w:val="00B22658"/>
    <w:rsid w:val="00B235AA"/>
    <w:rsid w:val="00B2473D"/>
    <w:rsid w:val="00B261C7"/>
    <w:rsid w:val="00B26957"/>
    <w:rsid w:val="00B27BD2"/>
    <w:rsid w:val="00B307D7"/>
    <w:rsid w:val="00B31360"/>
    <w:rsid w:val="00B32697"/>
    <w:rsid w:val="00B33070"/>
    <w:rsid w:val="00B34745"/>
    <w:rsid w:val="00B34CBF"/>
    <w:rsid w:val="00B34DE6"/>
    <w:rsid w:val="00B35881"/>
    <w:rsid w:val="00B35894"/>
    <w:rsid w:val="00B35F00"/>
    <w:rsid w:val="00B37763"/>
    <w:rsid w:val="00B40243"/>
    <w:rsid w:val="00B402FC"/>
    <w:rsid w:val="00B437E9"/>
    <w:rsid w:val="00B43C5B"/>
    <w:rsid w:val="00B44D4F"/>
    <w:rsid w:val="00B44E99"/>
    <w:rsid w:val="00B46827"/>
    <w:rsid w:val="00B46B6E"/>
    <w:rsid w:val="00B46C10"/>
    <w:rsid w:val="00B46E76"/>
    <w:rsid w:val="00B47385"/>
    <w:rsid w:val="00B50EC4"/>
    <w:rsid w:val="00B513D5"/>
    <w:rsid w:val="00B51741"/>
    <w:rsid w:val="00B536A7"/>
    <w:rsid w:val="00B54E69"/>
    <w:rsid w:val="00B55800"/>
    <w:rsid w:val="00B56232"/>
    <w:rsid w:val="00B56460"/>
    <w:rsid w:val="00B572F1"/>
    <w:rsid w:val="00B5775B"/>
    <w:rsid w:val="00B60C08"/>
    <w:rsid w:val="00B61010"/>
    <w:rsid w:val="00B6142C"/>
    <w:rsid w:val="00B620C1"/>
    <w:rsid w:val="00B620F3"/>
    <w:rsid w:val="00B621EE"/>
    <w:rsid w:val="00B62B41"/>
    <w:rsid w:val="00B63332"/>
    <w:rsid w:val="00B638BF"/>
    <w:rsid w:val="00B6610C"/>
    <w:rsid w:val="00B6648B"/>
    <w:rsid w:val="00B667FE"/>
    <w:rsid w:val="00B673B6"/>
    <w:rsid w:val="00B6758E"/>
    <w:rsid w:val="00B71024"/>
    <w:rsid w:val="00B7115E"/>
    <w:rsid w:val="00B71DCA"/>
    <w:rsid w:val="00B74CF8"/>
    <w:rsid w:val="00B74EC2"/>
    <w:rsid w:val="00B7507D"/>
    <w:rsid w:val="00B7551D"/>
    <w:rsid w:val="00B7563F"/>
    <w:rsid w:val="00B75983"/>
    <w:rsid w:val="00B7673F"/>
    <w:rsid w:val="00B77C1A"/>
    <w:rsid w:val="00B77C54"/>
    <w:rsid w:val="00B809A9"/>
    <w:rsid w:val="00B80DEB"/>
    <w:rsid w:val="00B829ED"/>
    <w:rsid w:val="00B83E06"/>
    <w:rsid w:val="00B842E5"/>
    <w:rsid w:val="00B84D9D"/>
    <w:rsid w:val="00B85050"/>
    <w:rsid w:val="00B85462"/>
    <w:rsid w:val="00B8595E"/>
    <w:rsid w:val="00B8616D"/>
    <w:rsid w:val="00B86622"/>
    <w:rsid w:val="00B87C2C"/>
    <w:rsid w:val="00B90581"/>
    <w:rsid w:val="00B90E36"/>
    <w:rsid w:val="00B913AD"/>
    <w:rsid w:val="00B914DA"/>
    <w:rsid w:val="00B92FAD"/>
    <w:rsid w:val="00B93ACD"/>
    <w:rsid w:val="00B941CB"/>
    <w:rsid w:val="00B961A6"/>
    <w:rsid w:val="00BA083B"/>
    <w:rsid w:val="00BA1C6D"/>
    <w:rsid w:val="00BA27C6"/>
    <w:rsid w:val="00BA3663"/>
    <w:rsid w:val="00BA424C"/>
    <w:rsid w:val="00BA4CF7"/>
    <w:rsid w:val="00BA5A8B"/>
    <w:rsid w:val="00BA5DB6"/>
    <w:rsid w:val="00BA6529"/>
    <w:rsid w:val="00BA66D1"/>
    <w:rsid w:val="00BA6FBF"/>
    <w:rsid w:val="00BA70E3"/>
    <w:rsid w:val="00BA70F4"/>
    <w:rsid w:val="00BB03C0"/>
    <w:rsid w:val="00BB04E1"/>
    <w:rsid w:val="00BB34BA"/>
    <w:rsid w:val="00BB3F1D"/>
    <w:rsid w:val="00BB443E"/>
    <w:rsid w:val="00BB496B"/>
    <w:rsid w:val="00BB58CD"/>
    <w:rsid w:val="00BB5C37"/>
    <w:rsid w:val="00BB6906"/>
    <w:rsid w:val="00BB6D7C"/>
    <w:rsid w:val="00BB7170"/>
    <w:rsid w:val="00BB7FD2"/>
    <w:rsid w:val="00BC0A58"/>
    <w:rsid w:val="00BC4604"/>
    <w:rsid w:val="00BC595C"/>
    <w:rsid w:val="00BC65DA"/>
    <w:rsid w:val="00BC764B"/>
    <w:rsid w:val="00BC7EE0"/>
    <w:rsid w:val="00BD0176"/>
    <w:rsid w:val="00BD0662"/>
    <w:rsid w:val="00BD14CD"/>
    <w:rsid w:val="00BD16A8"/>
    <w:rsid w:val="00BD1E3E"/>
    <w:rsid w:val="00BD345C"/>
    <w:rsid w:val="00BD45FE"/>
    <w:rsid w:val="00BD6477"/>
    <w:rsid w:val="00BD72AA"/>
    <w:rsid w:val="00BD7AF4"/>
    <w:rsid w:val="00BE055A"/>
    <w:rsid w:val="00BE0BE3"/>
    <w:rsid w:val="00BE147C"/>
    <w:rsid w:val="00BE1DDD"/>
    <w:rsid w:val="00BE2DD8"/>
    <w:rsid w:val="00BE38D6"/>
    <w:rsid w:val="00BE3A11"/>
    <w:rsid w:val="00BE4302"/>
    <w:rsid w:val="00BE4FAF"/>
    <w:rsid w:val="00BE6531"/>
    <w:rsid w:val="00BF0797"/>
    <w:rsid w:val="00BF0B40"/>
    <w:rsid w:val="00BF1583"/>
    <w:rsid w:val="00BF15BE"/>
    <w:rsid w:val="00BF1669"/>
    <w:rsid w:val="00BF221C"/>
    <w:rsid w:val="00BF2744"/>
    <w:rsid w:val="00BF2755"/>
    <w:rsid w:val="00BF29F0"/>
    <w:rsid w:val="00BF2F78"/>
    <w:rsid w:val="00BF3774"/>
    <w:rsid w:val="00BF3F36"/>
    <w:rsid w:val="00BF58D7"/>
    <w:rsid w:val="00BF5E0D"/>
    <w:rsid w:val="00BF632F"/>
    <w:rsid w:val="00BF6AB6"/>
    <w:rsid w:val="00C01917"/>
    <w:rsid w:val="00C027AB"/>
    <w:rsid w:val="00C02F15"/>
    <w:rsid w:val="00C036BF"/>
    <w:rsid w:val="00C043ED"/>
    <w:rsid w:val="00C047DF"/>
    <w:rsid w:val="00C04B6D"/>
    <w:rsid w:val="00C04E1A"/>
    <w:rsid w:val="00C0547E"/>
    <w:rsid w:val="00C06ED7"/>
    <w:rsid w:val="00C10929"/>
    <w:rsid w:val="00C10A5D"/>
    <w:rsid w:val="00C1110D"/>
    <w:rsid w:val="00C1288B"/>
    <w:rsid w:val="00C14702"/>
    <w:rsid w:val="00C1474E"/>
    <w:rsid w:val="00C14A05"/>
    <w:rsid w:val="00C15B15"/>
    <w:rsid w:val="00C166E1"/>
    <w:rsid w:val="00C166EE"/>
    <w:rsid w:val="00C16A58"/>
    <w:rsid w:val="00C17020"/>
    <w:rsid w:val="00C176A6"/>
    <w:rsid w:val="00C17F71"/>
    <w:rsid w:val="00C20560"/>
    <w:rsid w:val="00C2167F"/>
    <w:rsid w:val="00C217EA"/>
    <w:rsid w:val="00C21DB2"/>
    <w:rsid w:val="00C227BA"/>
    <w:rsid w:val="00C2446B"/>
    <w:rsid w:val="00C24CC4"/>
    <w:rsid w:val="00C25ABD"/>
    <w:rsid w:val="00C267F7"/>
    <w:rsid w:val="00C3049F"/>
    <w:rsid w:val="00C3053B"/>
    <w:rsid w:val="00C3066B"/>
    <w:rsid w:val="00C31AD9"/>
    <w:rsid w:val="00C32A56"/>
    <w:rsid w:val="00C32A8E"/>
    <w:rsid w:val="00C33171"/>
    <w:rsid w:val="00C34339"/>
    <w:rsid w:val="00C3463F"/>
    <w:rsid w:val="00C34A12"/>
    <w:rsid w:val="00C359EE"/>
    <w:rsid w:val="00C35DD2"/>
    <w:rsid w:val="00C3659A"/>
    <w:rsid w:val="00C36D0B"/>
    <w:rsid w:val="00C3798C"/>
    <w:rsid w:val="00C37A32"/>
    <w:rsid w:val="00C37BCB"/>
    <w:rsid w:val="00C4105B"/>
    <w:rsid w:val="00C41212"/>
    <w:rsid w:val="00C424D8"/>
    <w:rsid w:val="00C43477"/>
    <w:rsid w:val="00C4356A"/>
    <w:rsid w:val="00C448B2"/>
    <w:rsid w:val="00C45B50"/>
    <w:rsid w:val="00C4783C"/>
    <w:rsid w:val="00C478D4"/>
    <w:rsid w:val="00C51C31"/>
    <w:rsid w:val="00C5240F"/>
    <w:rsid w:val="00C5327F"/>
    <w:rsid w:val="00C54691"/>
    <w:rsid w:val="00C55EA1"/>
    <w:rsid w:val="00C55EC4"/>
    <w:rsid w:val="00C56549"/>
    <w:rsid w:val="00C60BB2"/>
    <w:rsid w:val="00C61F27"/>
    <w:rsid w:val="00C62572"/>
    <w:rsid w:val="00C632A8"/>
    <w:rsid w:val="00C63A2A"/>
    <w:rsid w:val="00C64C40"/>
    <w:rsid w:val="00C65552"/>
    <w:rsid w:val="00C6698C"/>
    <w:rsid w:val="00C67011"/>
    <w:rsid w:val="00C678CC"/>
    <w:rsid w:val="00C67BF9"/>
    <w:rsid w:val="00C71244"/>
    <w:rsid w:val="00C713A9"/>
    <w:rsid w:val="00C71B94"/>
    <w:rsid w:val="00C71F6C"/>
    <w:rsid w:val="00C7282A"/>
    <w:rsid w:val="00C72B15"/>
    <w:rsid w:val="00C72B5E"/>
    <w:rsid w:val="00C72C07"/>
    <w:rsid w:val="00C72CB6"/>
    <w:rsid w:val="00C738FC"/>
    <w:rsid w:val="00C748CD"/>
    <w:rsid w:val="00C75084"/>
    <w:rsid w:val="00C75680"/>
    <w:rsid w:val="00C762D8"/>
    <w:rsid w:val="00C76537"/>
    <w:rsid w:val="00C771BB"/>
    <w:rsid w:val="00C77318"/>
    <w:rsid w:val="00C77C1F"/>
    <w:rsid w:val="00C81440"/>
    <w:rsid w:val="00C81631"/>
    <w:rsid w:val="00C82012"/>
    <w:rsid w:val="00C83204"/>
    <w:rsid w:val="00C83D3B"/>
    <w:rsid w:val="00C845ED"/>
    <w:rsid w:val="00C84812"/>
    <w:rsid w:val="00C84BB6"/>
    <w:rsid w:val="00C84F6D"/>
    <w:rsid w:val="00C850DE"/>
    <w:rsid w:val="00C867AB"/>
    <w:rsid w:val="00C86AEE"/>
    <w:rsid w:val="00C86EE9"/>
    <w:rsid w:val="00C87257"/>
    <w:rsid w:val="00C90554"/>
    <w:rsid w:val="00C90656"/>
    <w:rsid w:val="00C931C1"/>
    <w:rsid w:val="00C9338B"/>
    <w:rsid w:val="00C933D0"/>
    <w:rsid w:val="00C9447B"/>
    <w:rsid w:val="00C94FE5"/>
    <w:rsid w:val="00C954C5"/>
    <w:rsid w:val="00C96AAA"/>
    <w:rsid w:val="00C978E7"/>
    <w:rsid w:val="00CA0767"/>
    <w:rsid w:val="00CA098E"/>
    <w:rsid w:val="00CA0B52"/>
    <w:rsid w:val="00CA1AD2"/>
    <w:rsid w:val="00CA34FA"/>
    <w:rsid w:val="00CA400D"/>
    <w:rsid w:val="00CA50D9"/>
    <w:rsid w:val="00CA62D6"/>
    <w:rsid w:val="00CA6CCE"/>
    <w:rsid w:val="00CB042D"/>
    <w:rsid w:val="00CB0A26"/>
    <w:rsid w:val="00CB1D0A"/>
    <w:rsid w:val="00CB1D8E"/>
    <w:rsid w:val="00CB3927"/>
    <w:rsid w:val="00CB3C6A"/>
    <w:rsid w:val="00CB5A45"/>
    <w:rsid w:val="00CB6423"/>
    <w:rsid w:val="00CB6A78"/>
    <w:rsid w:val="00CB6BBF"/>
    <w:rsid w:val="00CB6D9D"/>
    <w:rsid w:val="00CC018A"/>
    <w:rsid w:val="00CC0499"/>
    <w:rsid w:val="00CC0FF6"/>
    <w:rsid w:val="00CC1367"/>
    <w:rsid w:val="00CC1EC8"/>
    <w:rsid w:val="00CC335F"/>
    <w:rsid w:val="00CC5444"/>
    <w:rsid w:val="00CC7192"/>
    <w:rsid w:val="00CD1F50"/>
    <w:rsid w:val="00CD2674"/>
    <w:rsid w:val="00CD2766"/>
    <w:rsid w:val="00CD2DFF"/>
    <w:rsid w:val="00CD3427"/>
    <w:rsid w:val="00CD3DFE"/>
    <w:rsid w:val="00CD3EE2"/>
    <w:rsid w:val="00CD4EC5"/>
    <w:rsid w:val="00CD4FA2"/>
    <w:rsid w:val="00CD537D"/>
    <w:rsid w:val="00CD5910"/>
    <w:rsid w:val="00CD5975"/>
    <w:rsid w:val="00CD5E87"/>
    <w:rsid w:val="00CD60A6"/>
    <w:rsid w:val="00CD61ED"/>
    <w:rsid w:val="00CD74A4"/>
    <w:rsid w:val="00CD7B24"/>
    <w:rsid w:val="00CE0F29"/>
    <w:rsid w:val="00CE1047"/>
    <w:rsid w:val="00CE1A15"/>
    <w:rsid w:val="00CE1F96"/>
    <w:rsid w:val="00CE28BB"/>
    <w:rsid w:val="00CE300F"/>
    <w:rsid w:val="00CE3767"/>
    <w:rsid w:val="00CE37A1"/>
    <w:rsid w:val="00CE3C3E"/>
    <w:rsid w:val="00CE6234"/>
    <w:rsid w:val="00CE6EFD"/>
    <w:rsid w:val="00CE75AA"/>
    <w:rsid w:val="00CF1AC9"/>
    <w:rsid w:val="00CF26C6"/>
    <w:rsid w:val="00CF288E"/>
    <w:rsid w:val="00CF44D8"/>
    <w:rsid w:val="00CF4A8D"/>
    <w:rsid w:val="00CF4B4C"/>
    <w:rsid w:val="00CF6859"/>
    <w:rsid w:val="00CF69EE"/>
    <w:rsid w:val="00CF6A62"/>
    <w:rsid w:val="00CF74DF"/>
    <w:rsid w:val="00CF787A"/>
    <w:rsid w:val="00D01E4E"/>
    <w:rsid w:val="00D025DB"/>
    <w:rsid w:val="00D035BE"/>
    <w:rsid w:val="00D0439B"/>
    <w:rsid w:val="00D043F3"/>
    <w:rsid w:val="00D044A1"/>
    <w:rsid w:val="00D045D9"/>
    <w:rsid w:val="00D046B4"/>
    <w:rsid w:val="00D058C0"/>
    <w:rsid w:val="00D05A1C"/>
    <w:rsid w:val="00D0668C"/>
    <w:rsid w:val="00D07BDF"/>
    <w:rsid w:val="00D07EF3"/>
    <w:rsid w:val="00D10175"/>
    <w:rsid w:val="00D1073D"/>
    <w:rsid w:val="00D11125"/>
    <w:rsid w:val="00D13256"/>
    <w:rsid w:val="00D13727"/>
    <w:rsid w:val="00D13C1D"/>
    <w:rsid w:val="00D13D1A"/>
    <w:rsid w:val="00D140EE"/>
    <w:rsid w:val="00D147E2"/>
    <w:rsid w:val="00D15763"/>
    <w:rsid w:val="00D1610C"/>
    <w:rsid w:val="00D16719"/>
    <w:rsid w:val="00D17DC4"/>
    <w:rsid w:val="00D205D9"/>
    <w:rsid w:val="00D20CF7"/>
    <w:rsid w:val="00D20EBA"/>
    <w:rsid w:val="00D20F7C"/>
    <w:rsid w:val="00D21AF9"/>
    <w:rsid w:val="00D22AB2"/>
    <w:rsid w:val="00D246DC"/>
    <w:rsid w:val="00D265FE"/>
    <w:rsid w:val="00D273BB"/>
    <w:rsid w:val="00D27492"/>
    <w:rsid w:val="00D27A3D"/>
    <w:rsid w:val="00D3072B"/>
    <w:rsid w:val="00D308AD"/>
    <w:rsid w:val="00D31353"/>
    <w:rsid w:val="00D314BB"/>
    <w:rsid w:val="00D319F2"/>
    <w:rsid w:val="00D3238A"/>
    <w:rsid w:val="00D32672"/>
    <w:rsid w:val="00D33320"/>
    <w:rsid w:val="00D33B0D"/>
    <w:rsid w:val="00D33EDF"/>
    <w:rsid w:val="00D3459F"/>
    <w:rsid w:val="00D34C00"/>
    <w:rsid w:val="00D35486"/>
    <w:rsid w:val="00D3575C"/>
    <w:rsid w:val="00D3617F"/>
    <w:rsid w:val="00D36B23"/>
    <w:rsid w:val="00D36D98"/>
    <w:rsid w:val="00D37CDB"/>
    <w:rsid w:val="00D4007E"/>
    <w:rsid w:val="00D403DF"/>
    <w:rsid w:val="00D41027"/>
    <w:rsid w:val="00D41C5E"/>
    <w:rsid w:val="00D41EFF"/>
    <w:rsid w:val="00D42F35"/>
    <w:rsid w:val="00D42FFC"/>
    <w:rsid w:val="00D431E8"/>
    <w:rsid w:val="00D437A4"/>
    <w:rsid w:val="00D44523"/>
    <w:rsid w:val="00D44862"/>
    <w:rsid w:val="00D45F2D"/>
    <w:rsid w:val="00D46403"/>
    <w:rsid w:val="00D466B5"/>
    <w:rsid w:val="00D46C9A"/>
    <w:rsid w:val="00D5034D"/>
    <w:rsid w:val="00D50C41"/>
    <w:rsid w:val="00D50E74"/>
    <w:rsid w:val="00D521A9"/>
    <w:rsid w:val="00D5289E"/>
    <w:rsid w:val="00D5564A"/>
    <w:rsid w:val="00D55EB7"/>
    <w:rsid w:val="00D5623B"/>
    <w:rsid w:val="00D614D5"/>
    <w:rsid w:val="00D618AF"/>
    <w:rsid w:val="00D61B0F"/>
    <w:rsid w:val="00D61FFA"/>
    <w:rsid w:val="00D62401"/>
    <w:rsid w:val="00D62997"/>
    <w:rsid w:val="00D64EB0"/>
    <w:rsid w:val="00D65FE3"/>
    <w:rsid w:val="00D67EE7"/>
    <w:rsid w:val="00D7036D"/>
    <w:rsid w:val="00D705EA"/>
    <w:rsid w:val="00D709F4"/>
    <w:rsid w:val="00D70F18"/>
    <w:rsid w:val="00D7163C"/>
    <w:rsid w:val="00D73075"/>
    <w:rsid w:val="00D76E40"/>
    <w:rsid w:val="00D808E0"/>
    <w:rsid w:val="00D8099E"/>
    <w:rsid w:val="00D8227A"/>
    <w:rsid w:val="00D82E46"/>
    <w:rsid w:val="00D830C1"/>
    <w:rsid w:val="00D84D95"/>
    <w:rsid w:val="00D85BA4"/>
    <w:rsid w:val="00D91486"/>
    <w:rsid w:val="00D914A5"/>
    <w:rsid w:val="00D916B4"/>
    <w:rsid w:val="00D91828"/>
    <w:rsid w:val="00D9393B"/>
    <w:rsid w:val="00D9613B"/>
    <w:rsid w:val="00D97300"/>
    <w:rsid w:val="00D97851"/>
    <w:rsid w:val="00DA09A7"/>
    <w:rsid w:val="00DA257A"/>
    <w:rsid w:val="00DA3791"/>
    <w:rsid w:val="00DA37C9"/>
    <w:rsid w:val="00DA37CE"/>
    <w:rsid w:val="00DA380E"/>
    <w:rsid w:val="00DA3955"/>
    <w:rsid w:val="00DA39C3"/>
    <w:rsid w:val="00DA5B0E"/>
    <w:rsid w:val="00DA65E6"/>
    <w:rsid w:val="00DA66E8"/>
    <w:rsid w:val="00DB0C1C"/>
    <w:rsid w:val="00DB1EB2"/>
    <w:rsid w:val="00DB28B5"/>
    <w:rsid w:val="00DB2C7A"/>
    <w:rsid w:val="00DB327E"/>
    <w:rsid w:val="00DB4C8E"/>
    <w:rsid w:val="00DB6639"/>
    <w:rsid w:val="00DB69E8"/>
    <w:rsid w:val="00DB6E46"/>
    <w:rsid w:val="00DB6F9C"/>
    <w:rsid w:val="00DB7D04"/>
    <w:rsid w:val="00DB7DED"/>
    <w:rsid w:val="00DC0AFB"/>
    <w:rsid w:val="00DC198C"/>
    <w:rsid w:val="00DC28DB"/>
    <w:rsid w:val="00DC3D3A"/>
    <w:rsid w:val="00DC3EF4"/>
    <w:rsid w:val="00DC3FA4"/>
    <w:rsid w:val="00DC4C2A"/>
    <w:rsid w:val="00DC4C7E"/>
    <w:rsid w:val="00DC53D3"/>
    <w:rsid w:val="00DC5B54"/>
    <w:rsid w:val="00DC64DE"/>
    <w:rsid w:val="00DC65C9"/>
    <w:rsid w:val="00DC6965"/>
    <w:rsid w:val="00DC6BEC"/>
    <w:rsid w:val="00DC6C11"/>
    <w:rsid w:val="00DC71A5"/>
    <w:rsid w:val="00DC75E6"/>
    <w:rsid w:val="00DC784E"/>
    <w:rsid w:val="00DC7F30"/>
    <w:rsid w:val="00DD0097"/>
    <w:rsid w:val="00DD0BDE"/>
    <w:rsid w:val="00DD1963"/>
    <w:rsid w:val="00DD1D54"/>
    <w:rsid w:val="00DD2769"/>
    <w:rsid w:val="00DD2CE2"/>
    <w:rsid w:val="00DD3092"/>
    <w:rsid w:val="00DD377D"/>
    <w:rsid w:val="00DD3C10"/>
    <w:rsid w:val="00DD3CCF"/>
    <w:rsid w:val="00DD45E6"/>
    <w:rsid w:val="00DD488C"/>
    <w:rsid w:val="00DD4D15"/>
    <w:rsid w:val="00DD5B82"/>
    <w:rsid w:val="00DD5BB0"/>
    <w:rsid w:val="00DD640B"/>
    <w:rsid w:val="00DD6EB3"/>
    <w:rsid w:val="00DD6F35"/>
    <w:rsid w:val="00DD70DD"/>
    <w:rsid w:val="00DD7812"/>
    <w:rsid w:val="00DD78B3"/>
    <w:rsid w:val="00DE024A"/>
    <w:rsid w:val="00DE1C8A"/>
    <w:rsid w:val="00DE39CC"/>
    <w:rsid w:val="00DE3D3F"/>
    <w:rsid w:val="00DE429C"/>
    <w:rsid w:val="00DE43BE"/>
    <w:rsid w:val="00DE52FF"/>
    <w:rsid w:val="00DE5BCD"/>
    <w:rsid w:val="00DE5F9D"/>
    <w:rsid w:val="00DE633B"/>
    <w:rsid w:val="00DE6466"/>
    <w:rsid w:val="00DE78F9"/>
    <w:rsid w:val="00DE7929"/>
    <w:rsid w:val="00DF07F9"/>
    <w:rsid w:val="00DF0EF3"/>
    <w:rsid w:val="00DF1411"/>
    <w:rsid w:val="00DF34F9"/>
    <w:rsid w:val="00DF397E"/>
    <w:rsid w:val="00DF3F44"/>
    <w:rsid w:val="00DF4436"/>
    <w:rsid w:val="00DF46CD"/>
    <w:rsid w:val="00DF6FF8"/>
    <w:rsid w:val="00DF72A8"/>
    <w:rsid w:val="00DF76F7"/>
    <w:rsid w:val="00E00876"/>
    <w:rsid w:val="00E00F13"/>
    <w:rsid w:val="00E014FD"/>
    <w:rsid w:val="00E0283A"/>
    <w:rsid w:val="00E02D76"/>
    <w:rsid w:val="00E03371"/>
    <w:rsid w:val="00E04116"/>
    <w:rsid w:val="00E058DE"/>
    <w:rsid w:val="00E05E48"/>
    <w:rsid w:val="00E05E49"/>
    <w:rsid w:val="00E068D5"/>
    <w:rsid w:val="00E068DB"/>
    <w:rsid w:val="00E07F2D"/>
    <w:rsid w:val="00E10259"/>
    <w:rsid w:val="00E11028"/>
    <w:rsid w:val="00E11DC4"/>
    <w:rsid w:val="00E11FCF"/>
    <w:rsid w:val="00E12339"/>
    <w:rsid w:val="00E1284D"/>
    <w:rsid w:val="00E12A4D"/>
    <w:rsid w:val="00E13C0E"/>
    <w:rsid w:val="00E145E6"/>
    <w:rsid w:val="00E149E5"/>
    <w:rsid w:val="00E14B47"/>
    <w:rsid w:val="00E1503B"/>
    <w:rsid w:val="00E15C29"/>
    <w:rsid w:val="00E161A0"/>
    <w:rsid w:val="00E213E7"/>
    <w:rsid w:val="00E21D8D"/>
    <w:rsid w:val="00E23819"/>
    <w:rsid w:val="00E24959"/>
    <w:rsid w:val="00E2571A"/>
    <w:rsid w:val="00E26E2F"/>
    <w:rsid w:val="00E27E49"/>
    <w:rsid w:val="00E310B1"/>
    <w:rsid w:val="00E32B1E"/>
    <w:rsid w:val="00E332AF"/>
    <w:rsid w:val="00E339EE"/>
    <w:rsid w:val="00E33C2B"/>
    <w:rsid w:val="00E346C3"/>
    <w:rsid w:val="00E34C12"/>
    <w:rsid w:val="00E35002"/>
    <w:rsid w:val="00E35DE7"/>
    <w:rsid w:val="00E35E79"/>
    <w:rsid w:val="00E35EE8"/>
    <w:rsid w:val="00E363CB"/>
    <w:rsid w:val="00E36855"/>
    <w:rsid w:val="00E36985"/>
    <w:rsid w:val="00E36A3F"/>
    <w:rsid w:val="00E3744B"/>
    <w:rsid w:val="00E404EB"/>
    <w:rsid w:val="00E40EC9"/>
    <w:rsid w:val="00E42157"/>
    <w:rsid w:val="00E421EC"/>
    <w:rsid w:val="00E431CD"/>
    <w:rsid w:val="00E43314"/>
    <w:rsid w:val="00E43D6C"/>
    <w:rsid w:val="00E443E3"/>
    <w:rsid w:val="00E4538A"/>
    <w:rsid w:val="00E46BBE"/>
    <w:rsid w:val="00E470CB"/>
    <w:rsid w:val="00E47458"/>
    <w:rsid w:val="00E502CA"/>
    <w:rsid w:val="00E50434"/>
    <w:rsid w:val="00E517AE"/>
    <w:rsid w:val="00E51BE6"/>
    <w:rsid w:val="00E5230B"/>
    <w:rsid w:val="00E54A99"/>
    <w:rsid w:val="00E54DD6"/>
    <w:rsid w:val="00E55A53"/>
    <w:rsid w:val="00E563E1"/>
    <w:rsid w:val="00E56DFA"/>
    <w:rsid w:val="00E57D76"/>
    <w:rsid w:val="00E6093A"/>
    <w:rsid w:val="00E60D9A"/>
    <w:rsid w:val="00E61E49"/>
    <w:rsid w:val="00E63A2D"/>
    <w:rsid w:val="00E63E8C"/>
    <w:rsid w:val="00E63F7C"/>
    <w:rsid w:val="00E63FDA"/>
    <w:rsid w:val="00E64DAE"/>
    <w:rsid w:val="00E656F3"/>
    <w:rsid w:val="00E65900"/>
    <w:rsid w:val="00E65E8E"/>
    <w:rsid w:val="00E6696B"/>
    <w:rsid w:val="00E66FCD"/>
    <w:rsid w:val="00E67E79"/>
    <w:rsid w:val="00E7107D"/>
    <w:rsid w:val="00E72ED1"/>
    <w:rsid w:val="00E72F8C"/>
    <w:rsid w:val="00E733CA"/>
    <w:rsid w:val="00E736B9"/>
    <w:rsid w:val="00E73F66"/>
    <w:rsid w:val="00E741CD"/>
    <w:rsid w:val="00E74D9A"/>
    <w:rsid w:val="00E76A33"/>
    <w:rsid w:val="00E76EDC"/>
    <w:rsid w:val="00E81D06"/>
    <w:rsid w:val="00E81F4E"/>
    <w:rsid w:val="00E8276F"/>
    <w:rsid w:val="00E85BEE"/>
    <w:rsid w:val="00E8668C"/>
    <w:rsid w:val="00E86824"/>
    <w:rsid w:val="00E9031A"/>
    <w:rsid w:val="00E90394"/>
    <w:rsid w:val="00E90B0C"/>
    <w:rsid w:val="00E90D71"/>
    <w:rsid w:val="00E910BC"/>
    <w:rsid w:val="00E92111"/>
    <w:rsid w:val="00E922B5"/>
    <w:rsid w:val="00E9239F"/>
    <w:rsid w:val="00E9243F"/>
    <w:rsid w:val="00E9308B"/>
    <w:rsid w:val="00E9338D"/>
    <w:rsid w:val="00E94A75"/>
    <w:rsid w:val="00E95AE8"/>
    <w:rsid w:val="00E968BC"/>
    <w:rsid w:val="00E96CDD"/>
    <w:rsid w:val="00E96E7F"/>
    <w:rsid w:val="00E977B8"/>
    <w:rsid w:val="00EA0D27"/>
    <w:rsid w:val="00EA0FE0"/>
    <w:rsid w:val="00EA1E8C"/>
    <w:rsid w:val="00EA3217"/>
    <w:rsid w:val="00EA3C4E"/>
    <w:rsid w:val="00EA46BB"/>
    <w:rsid w:val="00EA67EE"/>
    <w:rsid w:val="00EA739B"/>
    <w:rsid w:val="00EB0C71"/>
    <w:rsid w:val="00EB1C50"/>
    <w:rsid w:val="00EB23F0"/>
    <w:rsid w:val="00EB2480"/>
    <w:rsid w:val="00EB37B4"/>
    <w:rsid w:val="00EB3831"/>
    <w:rsid w:val="00EB450A"/>
    <w:rsid w:val="00EB4EF6"/>
    <w:rsid w:val="00EB6E25"/>
    <w:rsid w:val="00EB75ED"/>
    <w:rsid w:val="00EC03B7"/>
    <w:rsid w:val="00EC0972"/>
    <w:rsid w:val="00EC1479"/>
    <w:rsid w:val="00EC1B5E"/>
    <w:rsid w:val="00EC1D8F"/>
    <w:rsid w:val="00EC1F8D"/>
    <w:rsid w:val="00EC26C6"/>
    <w:rsid w:val="00EC2953"/>
    <w:rsid w:val="00EC2C7C"/>
    <w:rsid w:val="00EC32FE"/>
    <w:rsid w:val="00EC5442"/>
    <w:rsid w:val="00EC67CA"/>
    <w:rsid w:val="00EC6DFA"/>
    <w:rsid w:val="00EC6F2E"/>
    <w:rsid w:val="00EC7DB9"/>
    <w:rsid w:val="00ED1013"/>
    <w:rsid w:val="00ED1844"/>
    <w:rsid w:val="00ED22AA"/>
    <w:rsid w:val="00ED3C3E"/>
    <w:rsid w:val="00ED3D08"/>
    <w:rsid w:val="00ED4473"/>
    <w:rsid w:val="00ED4C71"/>
    <w:rsid w:val="00ED4D2A"/>
    <w:rsid w:val="00ED626C"/>
    <w:rsid w:val="00ED6A82"/>
    <w:rsid w:val="00ED6B81"/>
    <w:rsid w:val="00ED745D"/>
    <w:rsid w:val="00EE00FC"/>
    <w:rsid w:val="00EE01D5"/>
    <w:rsid w:val="00EE031E"/>
    <w:rsid w:val="00EE0A87"/>
    <w:rsid w:val="00EE17D9"/>
    <w:rsid w:val="00EE24FC"/>
    <w:rsid w:val="00EE3400"/>
    <w:rsid w:val="00EE3575"/>
    <w:rsid w:val="00EE41DD"/>
    <w:rsid w:val="00EE4826"/>
    <w:rsid w:val="00EE48D9"/>
    <w:rsid w:val="00EE5808"/>
    <w:rsid w:val="00EE5904"/>
    <w:rsid w:val="00EE5D3D"/>
    <w:rsid w:val="00EE6DED"/>
    <w:rsid w:val="00EE776B"/>
    <w:rsid w:val="00EF1257"/>
    <w:rsid w:val="00EF177A"/>
    <w:rsid w:val="00EF2A7C"/>
    <w:rsid w:val="00EF5381"/>
    <w:rsid w:val="00EF551B"/>
    <w:rsid w:val="00EF5637"/>
    <w:rsid w:val="00EF57AE"/>
    <w:rsid w:val="00EF5F81"/>
    <w:rsid w:val="00EF74A7"/>
    <w:rsid w:val="00EF76E7"/>
    <w:rsid w:val="00F01898"/>
    <w:rsid w:val="00F01960"/>
    <w:rsid w:val="00F02690"/>
    <w:rsid w:val="00F0408A"/>
    <w:rsid w:val="00F04596"/>
    <w:rsid w:val="00F0472E"/>
    <w:rsid w:val="00F04F96"/>
    <w:rsid w:val="00F063CA"/>
    <w:rsid w:val="00F066AF"/>
    <w:rsid w:val="00F07020"/>
    <w:rsid w:val="00F077EE"/>
    <w:rsid w:val="00F10E39"/>
    <w:rsid w:val="00F11F9B"/>
    <w:rsid w:val="00F128D9"/>
    <w:rsid w:val="00F12C9A"/>
    <w:rsid w:val="00F144F1"/>
    <w:rsid w:val="00F148A3"/>
    <w:rsid w:val="00F15471"/>
    <w:rsid w:val="00F15CA4"/>
    <w:rsid w:val="00F15D4A"/>
    <w:rsid w:val="00F15F7E"/>
    <w:rsid w:val="00F20682"/>
    <w:rsid w:val="00F2206B"/>
    <w:rsid w:val="00F220D0"/>
    <w:rsid w:val="00F2214F"/>
    <w:rsid w:val="00F22733"/>
    <w:rsid w:val="00F2336A"/>
    <w:rsid w:val="00F23BF2"/>
    <w:rsid w:val="00F24C2E"/>
    <w:rsid w:val="00F24F6B"/>
    <w:rsid w:val="00F24F7D"/>
    <w:rsid w:val="00F25021"/>
    <w:rsid w:val="00F253F6"/>
    <w:rsid w:val="00F2647F"/>
    <w:rsid w:val="00F26872"/>
    <w:rsid w:val="00F26A70"/>
    <w:rsid w:val="00F278D4"/>
    <w:rsid w:val="00F27B22"/>
    <w:rsid w:val="00F27F26"/>
    <w:rsid w:val="00F3068D"/>
    <w:rsid w:val="00F3159A"/>
    <w:rsid w:val="00F33437"/>
    <w:rsid w:val="00F33CFE"/>
    <w:rsid w:val="00F34329"/>
    <w:rsid w:val="00F3487F"/>
    <w:rsid w:val="00F34993"/>
    <w:rsid w:val="00F34A05"/>
    <w:rsid w:val="00F34A3D"/>
    <w:rsid w:val="00F359CF"/>
    <w:rsid w:val="00F359FC"/>
    <w:rsid w:val="00F362C7"/>
    <w:rsid w:val="00F3740E"/>
    <w:rsid w:val="00F3782E"/>
    <w:rsid w:val="00F37B96"/>
    <w:rsid w:val="00F40849"/>
    <w:rsid w:val="00F40994"/>
    <w:rsid w:val="00F4159C"/>
    <w:rsid w:val="00F424B1"/>
    <w:rsid w:val="00F43CD4"/>
    <w:rsid w:val="00F44177"/>
    <w:rsid w:val="00F4461F"/>
    <w:rsid w:val="00F446C4"/>
    <w:rsid w:val="00F44868"/>
    <w:rsid w:val="00F44EC2"/>
    <w:rsid w:val="00F457FB"/>
    <w:rsid w:val="00F4604D"/>
    <w:rsid w:val="00F46B48"/>
    <w:rsid w:val="00F50C6E"/>
    <w:rsid w:val="00F51ACB"/>
    <w:rsid w:val="00F530A6"/>
    <w:rsid w:val="00F54658"/>
    <w:rsid w:val="00F54972"/>
    <w:rsid w:val="00F55055"/>
    <w:rsid w:val="00F55815"/>
    <w:rsid w:val="00F570BF"/>
    <w:rsid w:val="00F57B78"/>
    <w:rsid w:val="00F605CE"/>
    <w:rsid w:val="00F61534"/>
    <w:rsid w:val="00F61E4E"/>
    <w:rsid w:val="00F62588"/>
    <w:rsid w:val="00F63128"/>
    <w:rsid w:val="00F63B3F"/>
    <w:rsid w:val="00F64F1D"/>
    <w:rsid w:val="00F67D8D"/>
    <w:rsid w:val="00F67DB3"/>
    <w:rsid w:val="00F712CC"/>
    <w:rsid w:val="00F713D0"/>
    <w:rsid w:val="00F71B42"/>
    <w:rsid w:val="00F72488"/>
    <w:rsid w:val="00F72B1A"/>
    <w:rsid w:val="00F738D1"/>
    <w:rsid w:val="00F746E5"/>
    <w:rsid w:val="00F7589E"/>
    <w:rsid w:val="00F75B13"/>
    <w:rsid w:val="00F76CED"/>
    <w:rsid w:val="00F8063B"/>
    <w:rsid w:val="00F8191A"/>
    <w:rsid w:val="00F81A89"/>
    <w:rsid w:val="00F82103"/>
    <w:rsid w:val="00F82B38"/>
    <w:rsid w:val="00F82B99"/>
    <w:rsid w:val="00F83B7B"/>
    <w:rsid w:val="00F841A9"/>
    <w:rsid w:val="00F84B34"/>
    <w:rsid w:val="00F84D19"/>
    <w:rsid w:val="00F862A0"/>
    <w:rsid w:val="00F86D4F"/>
    <w:rsid w:val="00F90567"/>
    <w:rsid w:val="00F91DCD"/>
    <w:rsid w:val="00F92E4F"/>
    <w:rsid w:val="00F94439"/>
    <w:rsid w:val="00F94E7E"/>
    <w:rsid w:val="00F96246"/>
    <w:rsid w:val="00F96DB1"/>
    <w:rsid w:val="00F97F57"/>
    <w:rsid w:val="00FA1075"/>
    <w:rsid w:val="00FA10C6"/>
    <w:rsid w:val="00FA15A5"/>
    <w:rsid w:val="00FA2467"/>
    <w:rsid w:val="00FA2D62"/>
    <w:rsid w:val="00FA3582"/>
    <w:rsid w:val="00FA3E0E"/>
    <w:rsid w:val="00FA3FDA"/>
    <w:rsid w:val="00FA5DD8"/>
    <w:rsid w:val="00FA7070"/>
    <w:rsid w:val="00FB0028"/>
    <w:rsid w:val="00FB09BD"/>
    <w:rsid w:val="00FB0C3C"/>
    <w:rsid w:val="00FB129D"/>
    <w:rsid w:val="00FB157F"/>
    <w:rsid w:val="00FB2661"/>
    <w:rsid w:val="00FB3E79"/>
    <w:rsid w:val="00FB41A2"/>
    <w:rsid w:val="00FB48FE"/>
    <w:rsid w:val="00FB5BA6"/>
    <w:rsid w:val="00FB6454"/>
    <w:rsid w:val="00FB7664"/>
    <w:rsid w:val="00FB7738"/>
    <w:rsid w:val="00FB7B38"/>
    <w:rsid w:val="00FB7FD9"/>
    <w:rsid w:val="00FC2655"/>
    <w:rsid w:val="00FC34FC"/>
    <w:rsid w:val="00FC3627"/>
    <w:rsid w:val="00FC372D"/>
    <w:rsid w:val="00FC383A"/>
    <w:rsid w:val="00FC39CD"/>
    <w:rsid w:val="00FC591F"/>
    <w:rsid w:val="00FC6627"/>
    <w:rsid w:val="00FC713A"/>
    <w:rsid w:val="00FC777A"/>
    <w:rsid w:val="00FD0044"/>
    <w:rsid w:val="00FD03CA"/>
    <w:rsid w:val="00FD07CE"/>
    <w:rsid w:val="00FD07D1"/>
    <w:rsid w:val="00FD125D"/>
    <w:rsid w:val="00FD12D8"/>
    <w:rsid w:val="00FD1D89"/>
    <w:rsid w:val="00FD2223"/>
    <w:rsid w:val="00FD29EE"/>
    <w:rsid w:val="00FD2F7B"/>
    <w:rsid w:val="00FD402D"/>
    <w:rsid w:val="00FD60FE"/>
    <w:rsid w:val="00FD61F9"/>
    <w:rsid w:val="00FD6B30"/>
    <w:rsid w:val="00FD6E53"/>
    <w:rsid w:val="00FD7BE7"/>
    <w:rsid w:val="00FE05E6"/>
    <w:rsid w:val="00FE099C"/>
    <w:rsid w:val="00FE184C"/>
    <w:rsid w:val="00FE25C4"/>
    <w:rsid w:val="00FE3097"/>
    <w:rsid w:val="00FE3782"/>
    <w:rsid w:val="00FE40C4"/>
    <w:rsid w:val="00FE4232"/>
    <w:rsid w:val="00FE4399"/>
    <w:rsid w:val="00FE44D4"/>
    <w:rsid w:val="00FE5502"/>
    <w:rsid w:val="00FE58A6"/>
    <w:rsid w:val="00FE5FB1"/>
    <w:rsid w:val="00FE632C"/>
    <w:rsid w:val="00FE7060"/>
    <w:rsid w:val="00FE7541"/>
    <w:rsid w:val="00FE7C73"/>
    <w:rsid w:val="00FE7EF9"/>
    <w:rsid w:val="00FF06B9"/>
    <w:rsid w:val="00FF1345"/>
    <w:rsid w:val="00FF255C"/>
    <w:rsid w:val="00FF2628"/>
    <w:rsid w:val="00FF3E53"/>
    <w:rsid w:val="00FF5391"/>
    <w:rsid w:val="00FF7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A277C"/>
  <w15:docId w15:val="{3E653163-2C7D-4CFE-A246-EE3C55A77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731"/>
  </w:style>
  <w:style w:type="paragraph" w:styleId="Heading1">
    <w:name w:val="heading 1"/>
    <w:basedOn w:val="Normal"/>
    <w:next w:val="Normal"/>
    <w:link w:val="Heading1Char"/>
    <w:uiPriority w:val="9"/>
    <w:qFormat/>
    <w:rsid w:val="003527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0309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7E3"/>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457B5A"/>
    <w:pPr>
      <w:spacing w:after="0" w:line="240" w:lineRule="auto"/>
    </w:pPr>
  </w:style>
  <w:style w:type="table" w:styleId="TableGrid">
    <w:name w:val="Table Grid"/>
    <w:basedOn w:val="TableNormal"/>
    <w:uiPriority w:val="59"/>
    <w:rsid w:val="00457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5D7FB8"/>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BalloonText">
    <w:name w:val="Balloon Text"/>
    <w:basedOn w:val="Normal"/>
    <w:link w:val="BalloonTextChar"/>
    <w:uiPriority w:val="99"/>
    <w:semiHidden/>
    <w:unhideWhenUsed/>
    <w:rsid w:val="00411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751"/>
    <w:rPr>
      <w:rFonts w:ascii="Tahoma" w:hAnsi="Tahoma" w:cs="Tahoma"/>
      <w:sz w:val="16"/>
      <w:szCs w:val="16"/>
    </w:rPr>
  </w:style>
  <w:style w:type="paragraph" w:styleId="ListParagraph">
    <w:name w:val="List Paragraph"/>
    <w:aliases w:val="FooterText,Bullet List,cS List Paragraph,numbered,Paragraphe de liste1,Bulletr List Paragraph,列  出  段  落,列  出  段  落  1,List Paragraph2,List Paragraph21,List Paragraph11,Parágrafo da Lista1,Párrafo de lista1,リ  ス  ト  段  落  1,Listeafsnit1"/>
    <w:basedOn w:val="Normal"/>
    <w:link w:val="ListParagraphChar"/>
    <w:uiPriority w:val="34"/>
    <w:qFormat/>
    <w:rsid w:val="0039590F"/>
    <w:pPr>
      <w:spacing w:after="0" w:line="240" w:lineRule="auto"/>
      <w:ind w:left="720"/>
    </w:pPr>
    <w:rPr>
      <w:rFonts w:ascii="Calibri" w:hAnsi="Calibri" w:cs="Calibri"/>
    </w:rPr>
  </w:style>
  <w:style w:type="paragraph" w:styleId="NormalWeb">
    <w:name w:val="Normal (Web)"/>
    <w:basedOn w:val="Normal"/>
    <w:uiPriority w:val="99"/>
    <w:semiHidden/>
    <w:unhideWhenUsed/>
    <w:rsid w:val="008B7D83"/>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F43C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43CD4"/>
    <w:rPr>
      <w:rFonts w:ascii="Consolas" w:hAnsi="Consolas"/>
      <w:sz w:val="21"/>
      <w:szCs w:val="21"/>
    </w:rPr>
  </w:style>
  <w:style w:type="character" w:styleId="Strong">
    <w:name w:val="Strong"/>
    <w:basedOn w:val="DefaultParagraphFont"/>
    <w:uiPriority w:val="22"/>
    <w:qFormat/>
    <w:rsid w:val="00BF3F36"/>
    <w:rPr>
      <w:b/>
      <w:bCs/>
    </w:rPr>
  </w:style>
  <w:style w:type="paragraph" w:styleId="Header">
    <w:name w:val="header"/>
    <w:basedOn w:val="Normal"/>
    <w:link w:val="HeaderChar"/>
    <w:uiPriority w:val="99"/>
    <w:unhideWhenUsed/>
    <w:rsid w:val="00030F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F05"/>
  </w:style>
  <w:style w:type="paragraph" w:styleId="Footer">
    <w:name w:val="footer"/>
    <w:basedOn w:val="Normal"/>
    <w:link w:val="FooterChar"/>
    <w:uiPriority w:val="99"/>
    <w:unhideWhenUsed/>
    <w:rsid w:val="00030F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F05"/>
  </w:style>
  <w:style w:type="paragraph" w:customStyle="1" w:styleId="FooterBodyText">
    <w:name w:val="Footer Body Text"/>
    <w:basedOn w:val="Normal"/>
    <w:rsid w:val="00030F05"/>
    <w:pPr>
      <w:spacing w:before="68" w:after="71" w:line="210" w:lineRule="atLeast"/>
    </w:pPr>
    <w:rPr>
      <w:rFonts w:ascii="Arial" w:hAnsi="Arial" w:cs="Arial"/>
      <w:color w:val="000000" w:themeColor="text1"/>
      <w:sz w:val="14"/>
      <w:szCs w:val="14"/>
    </w:rPr>
  </w:style>
  <w:style w:type="character" w:styleId="Hyperlink">
    <w:name w:val="Hyperlink"/>
    <w:basedOn w:val="DefaultParagraphFont"/>
    <w:uiPriority w:val="99"/>
    <w:unhideWhenUsed/>
    <w:rsid w:val="00030F05"/>
    <w:rPr>
      <w:color w:val="0000FF" w:themeColor="hyperlink"/>
      <w:u w:val="single"/>
    </w:rPr>
  </w:style>
  <w:style w:type="table" w:customStyle="1" w:styleId="LightShading1">
    <w:name w:val="Light Shading1"/>
    <w:basedOn w:val="TableNormal"/>
    <w:uiPriority w:val="60"/>
    <w:rsid w:val="0082775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oSpacingChar">
    <w:name w:val="No Spacing Char"/>
    <w:basedOn w:val="DefaultParagraphFont"/>
    <w:link w:val="NoSpacing"/>
    <w:uiPriority w:val="1"/>
    <w:rsid w:val="00A4568D"/>
  </w:style>
  <w:style w:type="table" w:styleId="LightList-Accent5">
    <w:name w:val="Light List Accent 5"/>
    <w:basedOn w:val="TableNormal"/>
    <w:uiPriority w:val="61"/>
    <w:rsid w:val="00A4568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MediumShading1-Accent11">
    <w:name w:val="Medium Shading 1 - Accent 11"/>
    <w:basedOn w:val="TableNormal"/>
    <w:uiPriority w:val="63"/>
    <w:rsid w:val="00A4568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E72F8C"/>
    <w:rPr>
      <w:sz w:val="16"/>
      <w:szCs w:val="16"/>
    </w:rPr>
  </w:style>
  <w:style w:type="paragraph" w:styleId="CommentText">
    <w:name w:val="annotation text"/>
    <w:basedOn w:val="Normal"/>
    <w:link w:val="CommentTextChar"/>
    <w:uiPriority w:val="99"/>
    <w:semiHidden/>
    <w:unhideWhenUsed/>
    <w:rsid w:val="00E72F8C"/>
    <w:pPr>
      <w:spacing w:line="240" w:lineRule="auto"/>
    </w:pPr>
    <w:rPr>
      <w:sz w:val="20"/>
      <w:szCs w:val="20"/>
    </w:rPr>
  </w:style>
  <w:style w:type="character" w:customStyle="1" w:styleId="CommentTextChar">
    <w:name w:val="Comment Text Char"/>
    <w:basedOn w:val="DefaultParagraphFont"/>
    <w:link w:val="CommentText"/>
    <w:uiPriority w:val="99"/>
    <w:semiHidden/>
    <w:rsid w:val="00E72F8C"/>
    <w:rPr>
      <w:sz w:val="20"/>
      <w:szCs w:val="20"/>
    </w:rPr>
  </w:style>
  <w:style w:type="paragraph" w:styleId="CommentSubject">
    <w:name w:val="annotation subject"/>
    <w:basedOn w:val="CommentText"/>
    <w:next w:val="CommentText"/>
    <w:link w:val="CommentSubjectChar"/>
    <w:uiPriority w:val="99"/>
    <w:semiHidden/>
    <w:unhideWhenUsed/>
    <w:rsid w:val="00E72F8C"/>
    <w:rPr>
      <w:b/>
      <w:bCs/>
    </w:rPr>
  </w:style>
  <w:style w:type="character" w:customStyle="1" w:styleId="CommentSubjectChar">
    <w:name w:val="Comment Subject Char"/>
    <w:basedOn w:val="CommentTextChar"/>
    <w:link w:val="CommentSubject"/>
    <w:uiPriority w:val="99"/>
    <w:semiHidden/>
    <w:rsid w:val="00E72F8C"/>
    <w:rPr>
      <w:b/>
      <w:bCs/>
      <w:sz w:val="20"/>
      <w:szCs w:val="20"/>
    </w:rPr>
  </w:style>
  <w:style w:type="character" w:styleId="FollowedHyperlink">
    <w:name w:val="FollowedHyperlink"/>
    <w:basedOn w:val="DefaultParagraphFont"/>
    <w:uiPriority w:val="99"/>
    <w:semiHidden/>
    <w:unhideWhenUsed/>
    <w:rsid w:val="00A63064"/>
    <w:rPr>
      <w:color w:val="800080" w:themeColor="followedHyperlink"/>
      <w:u w:val="single"/>
    </w:rPr>
  </w:style>
  <w:style w:type="character" w:customStyle="1" w:styleId="UnresolvedMention1">
    <w:name w:val="Unresolved Mention1"/>
    <w:basedOn w:val="DefaultParagraphFont"/>
    <w:uiPriority w:val="99"/>
    <w:semiHidden/>
    <w:unhideWhenUsed/>
    <w:rsid w:val="00C17020"/>
    <w:rPr>
      <w:color w:val="605E5C"/>
      <w:shd w:val="clear" w:color="auto" w:fill="E1DFDD"/>
    </w:rPr>
  </w:style>
  <w:style w:type="table" w:customStyle="1" w:styleId="ListTable4-Accent51">
    <w:name w:val="List Table 4 - Accent 51"/>
    <w:basedOn w:val="TableNormal"/>
    <w:uiPriority w:val="49"/>
    <w:rsid w:val="006C465F"/>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11">
    <w:name w:val="Grid Table 4 - Accent 11"/>
    <w:basedOn w:val="TableNormal"/>
    <w:uiPriority w:val="49"/>
    <w:rsid w:val="00C166E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nresolvedMention2">
    <w:name w:val="Unresolved Mention2"/>
    <w:basedOn w:val="DefaultParagraphFont"/>
    <w:uiPriority w:val="99"/>
    <w:semiHidden/>
    <w:unhideWhenUsed/>
    <w:rsid w:val="000F21EC"/>
    <w:rPr>
      <w:color w:val="605E5C"/>
      <w:shd w:val="clear" w:color="auto" w:fill="E1DFDD"/>
    </w:rPr>
  </w:style>
  <w:style w:type="table" w:styleId="TableGridLight">
    <w:name w:val="Grid Table Light"/>
    <w:basedOn w:val="TableNormal"/>
    <w:uiPriority w:val="40"/>
    <w:rsid w:val="00A06A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3">
    <w:name w:val="Unresolved Mention3"/>
    <w:basedOn w:val="DefaultParagraphFont"/>
    <w:uiPriority w:val="99"/>
    <w:semiHidden/>
    <w:unhideWhenUsed/>
    <w:rsid w:val="003878F9"/>
    <w:rPr>
      <w:color w:val="605E5C"/>
      <w:shd w:val="clear" w:color="auto" w:fill="E1DFDD"/>
    </w:rPr>
  </w:style>
  <w:style w:type="character" w:customStyle="1" w:styleId="UnresolvedMention4">
    <w:name w:val="Unresolved Mention4"/>
    <w:basedOn w:val="DefaultParagraphFont"/>
    <w:uiPriority w:val="99"/>
    <w:semiHidden/>
    <w:unhideWhenUsed/>
    <w:rsid w:val="00C34339"/>
    <w:rPr>
      <w:color w:val="605E5C"/>
      <w:shd w:val="clear" w:color="auto" w:fill="E1DFDD"/>
    </w:rPr>
  </w:style>
  <w:style w:type="character" w:customStyle="1" w:styleId="UnresolvedMention5">
    <w:name w:val="Unresolved Mention5"/>
    <w:basedOn w:val="DefaultParagraphFont"/>
    <w:uiPriority w:val="99"/>
    <w:semiHidden/>
    <w:unhideWhenUsed/>
    <w:rsid w:val="009D53C0"/>
    <w:rPr>
      <w:color w:val="605E5C"/>
      <w:shd w:val="clear" w:color="auto" w:fill="E1DFDD"/>
    </w:rPr>
  </w:style>
  <w:style w:type="character" w:customStyle="1" w:styleId="UnresolvedMention6">
    <w:name w:val="Unresolved Mention6"/>
    <w:basedOn w:val="DefaultParagraphFont"/>
    <w:uiPriority w:val="99"/>
    <w:semiHidden/>
    <w:unhideWhenUsed/>
    <w:rsid w:val="00334A0F"/>
    <w:rPr>
      <w:color w:val="605E5C"/>
      <w:shd w:val="clear" w:color="auto" w:fill="E1DFDD"/>
    </w:rPr>
  </w:style>
  <w:style w:type="character" w:customStyle="1" w:styleId="UnresolvedMention7">
    <w:name w:val="Unresolved Mention7"/>
    <w:basedOn w:val="DefaultParagraphFont"/>
    <w:uiPriority w:val="99"/>
    <w:semiHidden/>
    <w:unhideWhenUsed/>
    <w:rsid w:val="008B2978"/>
    <w:rPr>
      <w:color w:val="605E5C"/>
      <w:shd w:val="clear" w:color="auto" w:fill="E1DFDD"/>
    </w:rPr>
  </w:style>
  <w:style w:type="character" w:customStyle="1" w:styleId="UnresolvedMention8">
    <w:name w:val="Unresolved Mention8"/>
    <w:basedOn w:val="DefaultParagraphFont"/>
    <w:uiPriority w:val="99"/>
    <w:semiHidden/>
    <w:unhideWhenUsed/>
    <w:rsid w:val="00537360"/>
    <w:rPr>
      <w:color w:val="605E5C"/>
      <w:shd w:val="clear" w:color="auto" w:fill="E1DFDD"/>
    </w:rPr>
  </w:style>
  <w:style w:type="paragraph" w:customStyle="1" w:styleId="ydp371b4e2dmsonormal">
    <w:name w:val="ydp371b4e2dmsonormal"/>
    <w:basedOn w:val="Normal"/>
    <w:rsid w:val="00D20F7C"/>
    <w:pPr>
      <w:spacing w:before="100" w:beforeAutospacing="1" w:after="100" w:afterAutospacing="1" w:line="240" w:lineRule="auto"/>
    </w:pPr>
    <w:rPr>
      <w:rFonts w:ascii="Calibri" w:hAnsi="Calibri" w:cs="Calibri"/>
    </w:rPr>
  </w:style>
  <w:style w:type="table" w:styleId="ListTable1Light-Accent4">
    <w:name w:val="List Table 1 Light Accent 4"/>
    <w:basedOn w:val="TableNormal"/>
    <w:uiPriority w:val="46"/>
    <w:rsid w:val="00923AA8"/>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ListParagraphChar">
    <w:name w:val="List Paragraph Char"/>
    <w:aliases w:val="FooterText Char,Bullet List Char,cS List Paragraph Char,numbered Char,Paragraphe de liste1 Char,Bulletr List Paragraph Char,列  出  段  落 Char,列  出  段  落  1 Char,List Paragraph2 Char,List Paragraph21 Char,List Paragraph11 Char"/>
    <w:basedOn w:val="DefaultParagraphFont"/>
    <w:link w:val="ListParagraph"/>
    <w:uiPriority w:val="34"/>
    <w:locked/>
    <w:rsid w:val="00923AA8"/>
    <w:rPr>
      <w:rFonts w:ascii="Calibri" w:hAnsi="Calibri" w:cs="Calibri"/>
    </w:rPr>
  </w:style>
  <w:style w:type="table" w:styleId="ListTable1Light-Accent1">
    <w:name w:val="List Table 1 Light Accent 1"/>
    <w:basedOn w:val="TableNormal"/>
    <w:uiPriority w:val="46"/>
    <w:rsid w:val="00923AA8"/>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xmsonormal">
    <w:name w:val="x_msonormal"/>
    <w:basedOn w:val="Normal"/>
    <w:rsid w:val="00A77F5D"/>
    <w:pPr>
      <w:spacing w:after="0" w:line="240" w:lineRule="auto"/>
    </w:pPr>
    <w:rPr>
      <w:rFonts w:ascii="Calibri" w:hAnsi="Calibri" w:cs="Calibri"/>
    </w:rPr>
  </w:style>
  <w:style w:type="table" w:styleId="ListTable7Colorful-Accent1">
    <w:name w:val="List Table 7 Colorful Accent 1"/>
    <w:basedOn w:val="TableNormal"/>
    <w:uiPriority w:val="52"/>
    <w:rsid w:val="007906D7"/>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Accent1">
    <w:name w:val="List Table 4 Accent 1"/>
    <w:basedOn w:val="TableNormal"/>
    <w:uiPriority w:val="49"/>
    <w:rsid w:val="007906D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124EE7"/>
    <w:pPr>
      <w:spacing w:after="0" w:line="240" w:lineRule="auto"/>
    </w:pPr>
    <w:rPr>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
    <w:name w:val="List Table 4"/>
    <w:basedOn w:val="TableNormal"/>
    <w:uiPriority w:val="49"/>
    <w:rsid w:val="005C43DB"/>
    <w:pPr>
      <w:spacing w:after="0" w:line="240" w:lineRule="auto"/>
    </w:pPr>
    <w:rPr>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9">
    <w:name w:val="Unresolved Mention9"/>
    <w:basedOn w:val="DefaultParagraphFont"/>
    <w:uiPriority w:val="99"/>
    <w:semiHidden/>
    <w:unhideWhenUsed/>
    <w:rsid w:val="002B7BF3"/>
    <w:rPr>
      <w:color w:val="605E5C"/>
      <w:shd w:val="clear" w:color="auto" w:fill="E1DFDD"/>
    </w:rPr>
  </w:style>
  <w:style w:type="table" w:styleId="ListTable6Colorful">
    <w:name w:val="List Table 6 Colorful"/>
    <w:basedOn w:val="TableNormal"/>
    <w:uiPriority w:val="51"/>
    <w:rsid w:val="0014741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uiPriority w:val="9"/>
    <w:rsid w:val="00A03097"/>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9A49BE"/>
    <w:rPr>
      <w:i/>
      <w:iCs/>
    </w:rPr>
  </w:style>
  <w:style w:type="character" w:customStyle="1" w:styleId="UnresolvedMention10">
    <w:name w:val="Unresolved Mention10"/>
    <w:basedOn w:val="DefaultParagraphFont"/>
    <w:uiPriority w:val="99"/>
    <w:semiHidden/>
    <w:unhideWhenUsed/>
    <w:rsid w:val="005C2F46"/>
    <w:rPr>
      <w:color w:val="605E5C"/>
      <w:shd w:val="clear" w:color="auto" w:fill="E1DFDD"/>
    </w:rPr>
  </w:style>
  <w:style w:type="table" w:styleId="ListTable2">
    <w:name w:val="List Table 2"/>
    <w:basedOn w:val="TableNormal"/>
    <w:uiPriority w:val="47"/>
    <w:rsid w:val="00ED4D2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8150">
      <w:bodyDiv w:val="1"/>
      <w:marLeft w:val="0"/>
      <w:marRight w:val="0"/>
      <w:marTop w:val="0"/>
      <w:marBottom w:val="0"/>
      <w:divBdr>
        <w:top w:val="none" w:sz="0" w:space="0" w:color="auto"/>
        <w:left w:val="none" w:sz="0" w:space="0" w:color="auto"/>
        <w:bottom w:val="none" w:sz="0" w:space="0" w:color="auto"/>
        <w:right w:val="none" w:sz="0" w:space="0" w:color="auto"/>
      </w:divBdr>
    </w:div>
    <w:div w:id="7948491">
      <w:bodyDiv w:val="1"/>
      <w:marLeft w:val="0"/>
      <w:marRight w:val="0"/>
      <w:marTop w:val="0"/>
      <w:marBottom w:val="0"/>
      <w:divBdr>
        <w:top w:val="none" w:sz="0" w:space="0" w:color="auto"/>
        <w:left w:val="none" w:sz="0" w:space="0" w:color="auto"/>
        <w:bottom w:val="none" w:sz="0" w:space="0" w:color="auto"/>
        <w:right w:val="none" w:sz="0" w:space="0" w:color="auto"/>
      </w:divBdr>
    </w:div>
    <w:div w:id="41829647">
      <w:bodyDiv w:val="1"/>
      <w:marLeft w:val="0"/>
      <w:marRight w:val="0"/>
      <w:marTop w:val="0"/>
      <w:marBottom w:val="0"/>
      <w:divBdr>
        <w:top w:val="none" w:sz="0" w:space="0" w:color="auto"/>
        <w:left w:val="none" w:sz="0" w:space="0" w:color="auto"/>
        <w:bottom w:val="none" w:sz="0" w:space="0" w:color="auto"/>
        <w:right w:val="none" w:sz="0" w:space="0" w:color="auto"/>
      </w:divBdr>
    </w:div>
    <w:div w:id="42872125">
      <w:bodyDiv w:val="1"/>
      <w:marLeft w:val="0"/>
      <w:marRight w:val="0"/>
      <w:marTop w:val="0"/>
      <w:marBottom w:val="0"/>
      <w:divBdr>
        <w:top w:val="none" w:sz="0" w:space="0" w:color="auto"/>
        <w:left w:val="none" w:sz="0" w:space="0" w:color="auto"/>
        <w:bottom w:val="none" w:sz="0" w:space="0" w:color="auto"/>
        <w:right w:val="none" w:sz="0" w:space="0" w:color="auto"/>
      </w:divBdr>
    </w:div>
    <w:div w:id="64298979">
      <w:bodyDiv w:val="1"/>
      <w:marLeft w:val="0"/>
      <w:marRight w:val="0"/>
      <w:marTop w:val="0"/>
      <w:marBottom w:val="0"/>
      <w:divBdr>
        <w:top w:val="none" w:sz="0" w:space="0" w:color="auto"/>
        <w:left w:val="none" w:sz="0" w:space="0" w:color="auto"/>
        <w:bottom w:val="none" w:sz="0" w:space="0" w:color="auto"/>
        <w:right w:val="none" w:sz="0" w:space="0" w:color="auto"/>
      </w:divBdr>
    </w:div>
    <w:div w:id="163861778">
      <w:bodyDiv w:val="1"/>
      <w:marLeft w:val="0"/>
      <w:marRight w:val="0"/>
      <w:marTop w:val="0"/>
      <w:marBottom w:val="0"/>
      <w:divBdr>
        <w:top w:val="none" w:sz="0" w:space="0" w:color="auto"/>
        <w:left w:val="none" w:sz="0" w:space="0" w:color="auto"/>
        <w:bottom w:val="none" w:sz="0" w:space="0" w:color="auto"/>
        <w:right w:val="none" w:sz="0" w:space="0" w:color="auto"/>
      </w:divBdr>
    </w:div>
    <w:div w:id="180050610">
      <w:bodyDiv w:val="1"/>
      <w:marLeft w:val="0"/>
      <w:marRight w:val="0"/>
      <w:marTop w:val="0"/>
      <w:marBottom w:val="0"/>
      <w:divBdr>
        <w:top w:val="none" w:sz="0" w:space="0" w:color="auto"/>
        <w:left w:val="none" w:sz="0" w:space="0" w:color="auto"/>
        <w:bottom w:val="none" w:sz="0" w:space="0" w:color="auto"/>
        <w:right w:val="none" w:sz="0" w:space="0" w:color="auto"/>
      </w:divBdr>
    </w:div>
    <w:div w:id="246422950">
      <w:bodyDiv w:val="1"/>
      <w:marLeft w:val="0"/>
      <w:marRight w:val="0"/>
      <w:marTop w:val="0"/>
      <w:marBottom w:val="0"/>
      <w:divBdr>
        <w:top w:val="none" w:sz="0" w:space="0" w:color="auto"/>
        <w:left w:val="none" w:sz="0" w:space="0" w:color="auto"/>
        <w:bottom w:val="none" w:sz="0" w:space="0" w:color="auto"/>
        <w:right w:val="none" w:sz="0" w:space="0" w:color="auto"/>
      </w:divBdr>
    </w:div>
    <w:div w:id="270550470">
      <w:bodyDiv w:val="1"/>
      <w:marLeft w:val="0"/>
      <w:marRight w:val="0"/>
      <w:marTop w:val="0"/>
      <w:marBottom w:val="0"/>
      <w:divBdr>
        <w:top w:val="none" w:sz="0" w:space="0" w:color="auto"/>
        <w:left w:val="none" w:sz="0" w:space="0" w:color="auto"/>
        <w:bottom w:val="none" w:sz="0" w:space="0" w:color="auto"/>
        <w:right w:val="none" w:sz="0" w:space="0" w:color="auto"/>
      </w:divBdr>
    </w:div>
    <w:div w:id="296960780">
      <w:bodyDiv w:val="1"/>
      <w:marLeft w:val="0"/>
      <w:marRight w:val="0"/>
      <w:marTop w:val="0"/>
      <w:marBottom w:val="0"/>
      <w:divBdr>
        <w:top w:val="none" w:sz="0" w:space="0" w:color="auto"/>
        <w:left w:val="none" w:sz="0" w:space="0" w:color="auto"/>
        <w:bottom w:val="none" w:sz="0" w:space="0" w:color="auto"/>
        <w:right w:val="none" w:sz="0" w:space="0" w:color="auto"/>
      </w:divBdr>
    </w:div>
    <w:div w:id="332686944">
      <w:bodyDiv w:val="1"/>
      <w:marLeft w:val="0"/>
      <w:marRight w:val="0"/>
      <w:marTop w:val="0"/>
      <w:marBottom w:val="0"/>
      <w:divBdr>
        <w:top w:val="none" w:sz="0" w:space="0" w:color="auto"/>
        <w:left w:val="none" w:sz="0" w:space="0" w:color="auto"/>
        <w:bottom w:val="none" w:sz="0" w:space="0" w:color="auto"/>
        <w:right w:val="none" w:sz="0" w:space="0" w:color="auto"/>
      </w:divBdr>
    </w:div>
    <w:div w:id="341857403">
      <w:bodyDiv w:val="1"/>
      <w:marLeft w:val="0"/>
      <w:marRight w:val="0"/>
      <w:marTop w:val="0"/>
      <w:marBottom w:val="0"/>
      <w:divBdr>
        <w:top w:val="none" w:sz="0" w:space="0" w:color="auto"/>
        <w:left w:val="none" w:sz="0" w:space="0" w:color="auto"/>
        <w:bottom w:val="none" w:sz="0" w:space="0" w:color="auto"/>
        <w:right w:val="none" w:sz="0" w:space="0" w:color="auto"/>
      </w:divBdr>
    </w:div>
    <w:div w:id="342170964">
      <w:bodyDiv w:val="1"/>
      <w:marLeft w:val="0"/>
      <w:marRight w:val="0"/>
      <w:marTop w:val="0"/>
      <w:marBottom w:val="0"/>
      <w:divBdr>
        <w:top w:val="none" w:sz="0" w:space="0" w:color="auto"/>
        <w:left w:val="none" w:sz="0" w:space="0" w:color="auto"/>
        <w:bottom w:val="none" w:sz="0" w:space="0" w:color="auto"/>
        <w:right w:val="none" w:sz="0" w:space="0" w:color="auto"/>
      </w:divBdr>
    </w:div>
    <w:div w:id="353189426">
      <w:bodyDiv w:val="1"/>
      <w:marLeft w:val="0"/>
      <w:marRight w:val="0"/>
      <w:marTop w:val="0"/>
      <w:marBottom w:val="0"/>
      <w:divBdr>
        <w:top w:val="none" w:sz="0" w:space="0" w:color="auto"/>
        <w:left w:val="none" w:sz="0" w:space="0" w:color="auto"/>
        <w:bottom w:val="none" w:sz="0" w:space="0" w:color="auto"/>
        <w:right w:val="none" w:sz="0" w:space="0" w:color="auto"/>
      </w:divBdr>
    </w:div>
    <w:div w:id="427383817">
      <w:bodyDiv w:val="1"/>
      <w:marLeft w:val="0"/>
      <w:marRight w:val="0"/>
      <w:marTop w:val="0"/>
      <w:marBottom w:val="0"/>
      <w:divBdr>
        <w:top w:val="none" w:sz="0" w:space="0" w:color="auto"/>
        <w:left w:val="none" w:sz="0" w:space="0" w:color="auto"/>
        <w:bottom w:val="none" w:sz="0" w:space="0" w:color="auto"/>
        <w:right w:val="none" w:sz="0" w:space="0" w:color="auto"/>
      </w:divBdr>
    </w:div>
    <w:div w:id="512496062">
      <w:bodyDiv w:val="1"/>
      <w:marLeft w:val="0"/>
      <w:marRight w:val="0"/>
      <w:marTop w:val="0"/>
      <w:marBottom w:val="0"/>
      <w:divBdr>
        <w:top w:val="none" w:sz="0" w:space="0" w:color="auto"/>
        <w:left w:val="none" w:sz="0" w:space="0" w:color="auto"/>
        <w:bottom w:val="none" w:sz="0" w:space="0" w:color="auto"/>
        <w:right w:val="none" w:sz="0" w:space="0" w:color="auto"/>
      </w:divBdr>
    </w:div>
    <w:div w:id="556012674">
      <w:bodyDiv w:val="1"/>
      <w:marLeft w:val="0"/>
      <w:marRight w:val="0"/>
      <w:marTop w:val="0"/>
      <w:marBottom w:val="0"/>
      <w:divBdr>
        <w:top w:val="none" w:sz="0" w:space="0" w:color="auto"/>
        <w:left w:val="none" w:sz="0" w:space="0" w:color="auto"/>
        <w:bottom w:val="none" w:sz="0" w:space="0" w:color="auto"/>
        <w:right w:val="none" w:sz="0" w:space="0" w:color="auto"/>
      </w:divBdr>
    </w:div>
    <w:div w:id="571501722">
      <w:bodyDiv w:val="1"/>
      <w:marLeft w:val="0"/>
      <w:marRight w:val="0"/>
      <w:marTop w:val="0"/>
      <w:marBottom w:val="0"/>
      <w:divBdr>
        <w:top w:val="none" w:sz="0" w:space="0" w:color="auto"/>
        <w:left w:val="none" w:sz="0" w:space="0" w:color="auto"/>
        <w:bottom w:val="none" w:sz="0" w:space="0" w:color="auto"/>
        <w:right w:val="none" w:sz="0" w:space="0" w:color="auto"/>
      </w:divBdr>
    </w:div>
    <w:div w:id="614480816">
      <w:bodyDiv w:val="1"/>
      <w:marLeft w:val="0"/>
      <w:marRight w:val="0"/>
      <w:marTop w:val="0"/>
      <w:marBottom w:val="0"/>
      <w:divBdr>
        <w:top w:val="none" w:sz="0" w:space="0" w:color="auto"/>
        <w:left w:val="none" w:sz="0" w:space="0" w:color="auto"/>
        <w:bottom w:val="none" w:sz="0" w:space="0" w:color="auto"/>
        <w:right w:val="none" w:sz="0" w:space="0" w:color="auto"/>
      </w:divBdr>
    </w:div>
    <w:div w:id="642080046">
      <w:bodyDiv w:val="1"/>
      <w:marLeft w:val="0"/>
      <w:marRight w:val="0"/>
      <w:marTop w:val="0"/>
      <w:marBottom w:val="0"/>
      <w:divBdr>
        <w:top w:val="none" w:sz="0" w:space="0" w:color="auto"/>
        <w:left w:val="none" w:sz="0" w:space="0" w:color="auto"/>
        <w:bottom w:val="none" w:sz="0" w:space="0" w:color="auto"/>
        <w:right w:val="none" w:sz="0" w:space="0" w:color="auto"/>
      </w:divBdr>
    </w:div>
    <w:div w:id="656569236">
      <w:bodyDiv w:val="1"/>
      <w:marLeft w:val="0"/>
      <w:marRight w:val="0"/>
      <w:marTop w:val="0"/>
      <w:marBottom w:val="0"/>
      <w:divBdr>
        <w:top w:val="none" w:sz="0" w:space="0" w:color="auto"/>
        <w:left w:val="none" w:sz="0" w:space="0" w:color="auto"/>
        <w:bottom w:val="none" w:sz="0" w:space="0" w:color="auto"/>
        <w:right w:val="none" w:sz="0" w:space="0" w:color="auto"/>
      </w:divBdr>
    </w:div>
    <w:div w:id="668093002">
      <w:bodyDiv w:val="1"/>
      <w:marLeft w:val="0"/>
      <w:marRight w:val="0"/>
      <w:marTop w:val="0"/>
      <w:marBottom w:val="0"/>
      <w:divBdr>
        <w:top w:val="none" w:sz="0" w:space="0" w:color="auto"/>
        <w:left w:val="none" w:sz="0" w:space="0" w:color="auto"/>
        <w:bottom w:val="none" w:sz="0" w:space="0" w:color="auto"/>
        <w:right w:val="none" w:sz="0" w:space="0" w:color="auto"/>
      </w:divBdr>
    </w:div>
    <w:div w:id="719019560">
      <w:bodyDiv w:val="1"/>
      <w:marLeft w:val="0"/>
      <w:marRight w:val="0"/>
      <w:marTop w:val="0"/>
      <w:marBottom w:val="0"/>
      <w:divBdr>
        <w:top w:val="none" w:sz="0" w:space="0" w:color="auto"/>
        <w:left w:val="none" w:sz="0" w:space="0" w:color="auto"/>
        <w:bottom w:val="none" w:sz="0" w:space="0" w:color="auto"/>
        <w:right w:val="none" w:sz="0" w:space="0" w:color="auto"/>
      </w:divBdr>
    </w:div>
    <w:div w:id="763889860">
      <w:bodyDiv w:val="1"/>
      <w:marLeft w:val="0"/>
      <w:marRight w:val="0"/>
      <w:marTop w:val="0"/>
      <w:marBottom w:val="0"/>
      <w:divBdr>
        <w:top w:val="none" w:sz="0" w:space="0" w:color="auto"/>
        <w:left w:val="none" w:sz="0" w:space="0" w:color="auto"/>
        <w:bottom w:val="none" w:sz="0" w:space="0" w:color="auto"/>
        <w:right w:val="none" w:sz="0" w:space="0" w:color="auto"/>
      </w:divBdr>
    </w:div>
    <w:div w:id="783184729">
      <w:bodyDiv w:val="1"/>
      <w:marLeft w:val="0"/>
      <w:marRight w:val="0"/>
      <w:marTop w:val="0"/>
      <w:marBottom w:val="0"/>
      <w:divBdr>
        <w:top w:val="none" w:sz="0" w:space="0" w:color="auto"/>
        <w:left w:val="none" w:sz="0" w:space="0" w:color="auto"/>
        <w:bottom w:val="none" w:sz="0" w:space="0" w:color="auto"/>
        <w:right w:val="none" w:sz="0" w:space="0" w:color="auto"/>
      </w:divBdr>
    </w:div>
    <w:div w:id="826822187">
      <w:bodyDiv w:val="1"/>
      <w:marLeft w:val="0"/>
      <w:marRight w:val="0"/>
      <w:marTop w:val="0"/>
      <w:marBottom w:val="0"/>
      <w:divBdr>
        <w:top w:val="none" w:sz="0" w:space="0" w:color="auto"/>
        <w:left w:val="none" w:sz="0" w:space="0" w:color="auto"/>
        <w:bottom w:val="none" w:sz="0" w:space="0" w:color="auto"/>
        <w:right w:val="none" w:sz="0" w:space="0" w:color="auto"/>
      </w:divBdr>
    </w:div>
    <w:div w:id="887106891">
      <w:bodyDiv w:val="1"/>
      <w:marLeft w:val="0"/>
      <w:marRight w:val="0"/>
      <w:marTop w:val="0"/>
      <w:marBottom w:val="0"/>
      <w:divBdr>
        <w:top w:val="none" w:sz="0" w:space="0" w:color="auto"/>
        <w:left w:val="none" w:sz="0" w:space="0" w:color="auto"/>
        <w:bottom w:val="none" w:sz="0" w:space="0" w:color="auto"/>
        <w:right w:val="none" w:sz="0" w:space="0" w:color="auto"/>
      </w:divBdr>
    </w:div>
    <w:div w:id="890458917">
      <w:bodyDiv w:val="1"/>
      <w:marLeft w:val="0"/>
      <w:marRight w:val="0"/>
      <w:marTop w:val="0"/>
      <w:marBottom w:val="0"/>
      <w:divBdr>
        <w:top w:val="none" w:sz="0" w:space="0" w:color="auto"/>
        <w:left w:val="none" w:sz="0" w:space="0" w:color="auto"/>
        <w:bottom w:val="none" w:sz="0" w:space="0" w:color="auto"/>
        <w:right w:val="none" w:sz="0" w:space="0" w:color="auto"/>
      </w:divBdr>
    </w:div>
    <w:div w:id="891162411">
      <w:bodyDiv w:val="1"/>
      <w:marLeft w:val="0"/>
      <w:marRight w:val="0"/>
      <w:marTop w:val="0"/>
      <w:marBottom w:val="0"/>
      <w:divBdr>
        <w:top w:val="none" w:sz="0" w:space="0" w:color="auto"/>
        <w:left w:val="none" w:sz="0" w:space="0" w:color="auto"/>
        <w:bottom w:val="none" w:sz="0" w:space="0" w:color="auto"/>
        <w:right w:val="none" w:sz="0" w:space="0" w:color="auto"/>
      </w:divBdr>
    </w:div>
    <w:div w:id="948272371">
      <w:bodyDiv w:val="1"/>
      <w:marLeft w:val="0"/>
      <w:marRight w:val="0"/>
      <w:marTop w:val="0"/>
      <w:marBottom w:val="0"/>
      <w:divBdr>
        <w:top w:val="none" w:sz="0" w:space="0" w:color="auto"/>
        <w:left w:val="none" w:sz="0" w:space="0" w:color="auto"/>
        <w:bottom w:val="none" w:sz="0" w:space="0" w:color="auto"/>
        <w:right w:val="none" w:sz="0" w:space="0" w:color="auto"/>
      </w:divBdr>
    </w:div>
    <w:div w:id="965699453">
      <w:bodyDiv w:val="1"/>
      <w:marLeft w:val="0"/>
      <w:marRight w:val="0"/>
      <w:marTop w:val="0"/>
      <w:marBottom w:val="0"/>
      <w:divBdr>
        <w:top w:val="none" w:sz="0" w:space="0" w:color="auto"/>
        <w:left w:val="none" w:sz="0" w:space="0" w:color="auto"/>
        <w:bottom w:val="none" w:sz="0" w:space="0" w:color="auto"/>
        <w:right w:val="none" w:sz="0" w:space="0" w:color="auto"/>
      </w:divBdr>
    </w:div>
    <w:div w:id="965887800">
      <w:bodyDiv w:val="1"/>
      <w:marLeft w:val="0"/>
      <w:marRight w:val="0"/>
      <w:marTop w:val="0"/>
      <w:marBottom w:val="0"/>
      <w:divBdr>
        <w:top w:val="none" w:sz="0" w:space="0" w:color="auto"/>
        <w:left w:val="none" w:sz="0" w:space="0" w:color="auto"/>
        <w:bottom w:val="none" w:sz="0" w:space="0" w:color="auto"/>
        <w:right w:val="none" w:sz="0" w:space="0" w:color="auto"/>
      </w:divBdr>
    </w:div>
    <w:div w:id="993530967">
      <w:bodyDiv w:val="1"/>
      <w:marLeft w:val="0"/>
      <w:marRight w:val="0"/>
      <w:marTop w:val="0"/>
      <w:marBottom w:val="0"/>
      <w:divBdr>
        <w:top w:val="none" w:sz="0" w:space="0" w:color="auto"/>
        <w:left w:val="none" w:sz="0" w:space="0" w:color="auto"/>
        <w:bottom w:val="none" w:sz="0" w:space="0" w:color="auto"/>
        <w:right w:val="none" w:sz="0" w:space="0" w:color="auto"/>
      </w:divBdr>
    </w:div>
    <w:div w:id="1005013300">
      <w:bodyDiv w:val="1"/>
      <w:marLeft w:val="0"/>
      <w:marRight w:val="0"/>
      <w:marTop w:val="0"/>
      <w:marBottom w:val="0"/>
      <w:divBdr>
        <w:top w:val="none" w:sz="0" w:space="0" w:color="auto"/>
        <w:left w:val="none" w:sz="0" w:space="0" w:color="auto"/>
        <w:bottom w:val="none" w:sz="0" w:space="0" w:color="auto"/>
        <w:right w:val="none" w:sz="0" w:space="0" w:color="auto"/>
      </w:divBdr>
    </w:div>
    <w:div w:id="1032072143">
      <w:bodyDiv w:val="1"/>
      <w:marLeft w:val="0"/>
      <w:marRight w:val="0"/>
      <w:marTop w:val="0"/>
      <w:marBottom w:val="0"/>
      <w:divBdr>
        <w:top w:val="none" w:sz="0" w:space="0" w:color="auto"/>
        <w:left w:val="none" w:sz="0" w:space="0" w:color="auto"/>
        <w:bottom w:val="none" w:sz="0" w:space="0" w:color="auto"/>
        <w:right w:val="none" w:sz="0" w:space="0" w:color="auto"/>
      </w:divBdr>
    </w:div>
    <w:div w:id="1037899657">
      <w:bodyDiv w:val="1"/>
      <w:marLeft w:val="0"/>
      <w:marRight w:val="0"/>
      <w:marTop w:val="0"/>
      <w:marBottom w:val="0"/>
      <w:divBdr>
        <w:top w:val="none" w:sz="0" w:space="0" w:color="auto"/>
        <w:left w:val="none" w:sz="0" w:space="0" w:color="auto"/>
        <w:bottom w:val="none" w:sz="0" w:space="0" w:color="auto"/>
        <w:right w:val="none" w:sz="0" w:space="0" w:color="auto"/>
      </w:divBdr>
    </w:div>
    <w:div w:id="1084761613">
      <w:bodyDiv w:val="1"/>
      <w:marLeft w:val="0"/>
      <w:marRight w:val="0"/>
      <w:marTop w:val="0"/>
      <w:marBottom w:val="0"/>
      <w:divBdr>
        <w:top w:val="none" w:sz="0" w:space="0" w:color="auto"/>
        <w:left w:val="none" w:sz="0" w:space="0" w:color="auto"/>
        <w:bottom w:val="none" w:sz="0" w:space="0" w:color="auto"/>
        <w:right w:val="none" w:sz="0" w:space="0" w:color="auto"/>
      </w:divBdr>
    </w:div>
    <w:div w:id="1088500378">
      <w:bodyDiv w:val="1"/>
      <w:marLeft w:val="0"/>
      <w:marRight w:val="0"/>
      <w:marTop w:val="0"/>
      <w:marBottom w:val="0"/>
      <w:divBdr>
        <w:top w:val="none" w:sz="0" w:space="0" w:color="auto"/>
        <w:left w:val="none" w:sz="0" w:space="0" w:color="auto"/>
        <w:bottom w:val="none" w:sz="0" w:space="0" w:color="auto"/>
        <w:right w:val="none" w:sz="0" w:space="0" w:color="auto"/>
      </w:divBdr>
    </w:div>
    <w:div w:id="1108966496">
      <w:bodyDiv w:val="1"/>
      <w:marLeft w:val="0"/>
      <w:marRight w:val="0"/>
      <w:marTop w:val="0"/>
      <w:marBottom w:val="0"/>
      <w:divBdr>
        <w:top w:val="none" w:sz="0" w:space="0" w:color="auto"/>
        <w:left w:val="none" w:sz="0" w:space="0" w:color="auto"/>
        <w:bottom w:val="none" w:sz="0" w:space="0" w:color="auto"/>
        <w:right w:val="none" w:sz="0" w:space="0" w:color="auto"/>
      </w:divBdr>
    </w:div>
    <w:div w:id="1110782342">
      <w:bodyDiv w:val="1"/>
      <w:marLeft w:val="0"/>
      <w:marRight w:val="0"/>
      <w:marTop w:val="0"/>
      <w:marBottom w:val="0"/>
      <w:divBdr>
        <w:top w:val="none" w:sz="0" w:space="0" w:color="auto"/>
        <w:left w:val="none" w:sz="0" w:space="0" w:color="auto"/>
        <w:bottom w:val="none" w:sz="0" w:space="0" w:color="auto"/>
        <w:right w:val="none" w:sz="0" w:space="0" w:color="auto"/>
      </w:divBdr>
    </w:div>
    <w:div w:id="1143737724">
      <w:bodyDiv w:val="1"/>
      <w:marLeft w:val="0"/>
      <w:marRight w:val="0"/>
      <w:marTop w:val="0"/>
      <w:marBottom w:val="0"/>
      <w:divBdr>
        <w:top w:val="none" w:sz="0" w:space="0" w:color="auto"/>
        <w:left w:val="none" w:sz="0" w:space="0" w:color="auto"/>
        <w:bottom w:val="none" w:sz="0" w:space="0" w:color="auto"/>
        <w:right w:val="none" w:sz="0" w:space="0" w:color="auto"/>
      </w:divBdr>
    </w:div>
    <w:div w:id="1166555084">
      <w:bodyDiv w:val="1"/>
      <w:marLeft w:val="0"/>
      <w:marRight w:val="0"/>
      <w:marTop w:val="0"/>
      <w:marBottom w:val="0"/>
      <w:divBdr>
        <w:top w:val="none" w:sz="0" w:space="0" w:color="auto"/>
        <w:left w:val="none" w:sz="0" w:space="0" w:color="auto"/>
        <w:bottom w:val="none" w:sz="0" w:space="0" w:color="auto"/>
        <w:right w:val="none" w:sz="0" w:space="0" w:color="auto"/>
      </w:divBdr>
    </w:div>
    <w:div w:id="1169446130">
      <w:bodyDiv w:val="1"/>
      <w:marLeft w:val="0"/>
      <w:marRight w:val="0"/>
      <w:marTop w:val="0"/>
      <w:marBottom w:val="0"/>
      <w:divBdr>
        <w:top w:val="none" w:sz="0" w:space="0" w:color="auto"/>
        <w:left w:val="none" w:sz="0" w:space="0" w:color="auto"/>
        <w:bottom w:val="none" w:sz="0" w:space="0" w:color="auto"/>
        <w:right w:val="none" w:sz="0" w:space="0" w:color="auto"/>
      </w:divBdr>
    </w:div>
    <w:div w:id="1191533543">
      <w:bodyDiv w:val="1"/>
      <w:marLeft w:val="0"/>
      <w:marRight w:val="0"/>
      <w:marTop w:val="0"/>
      <w:marBottom w:val="0"/>
      <w:divBdr>
        <w:top w:val="none" w:sz="0" w:space="0" w:color="auto"/>
        <w:left w:val="none" w:sz="0" w:space="0" w:color="auto"/>
        <w:bottom w:val="none" w:sz="0" w:space="0" w:color="auto"/>
        <w:right w:val="none" w:sz="0" w:space="0" w:color="auto"/>
      </w:divBdr>
    </w:div>
    <w:div w:id="1205675604">
      <w:bodyDiv w:val="1"/>
      <w:marLeft w:val="0"/>
      <w:marRight w:val="0"/>
      <w:marTop w:val="0"/>
      <w:marBottom w:val="0"/>
      <w:divBdr>
        <w:top w:val="none" w:sz="0" w:space="0" w:color="auto"/>
        <w:left w:val="none" w:sz="0" w:space="0" w:color="auto"/>
        <w:bottom w:val="none" w:sz="0" w:space="0" w:color="auto"/>
        <w:right w:val="none" w:sz="0" w:space="0" w:color="auto"/>
      </w:divBdr>
    </w:div>
    <w:div w:id="1217399130">
      <w:bodyDiv w:val="1"/>
      <w:marLeft w:val="0"/>
      <w:marRight w:val="0"/>
      <w:marTop w:val="0"/>
      <w:marBottom w:val="0"/>
      <w:divBdr>
        <w:top w:val="none" w:sz="0" w:space="0" w:color="auto"/>
        <w:left w:val="none" w:sz="0" w:space="0" w:color="auto"/>
        <w:bottom w:val="none" w:sz="0" w:space="0" w:color="auto"/>
        <w:right w:val="none" w:sz="0" w:space="0" w:color="auto"/>
      </w:divBdr>
    </w:div>
    <w:div w:id="1225458099">
      <w:bodyDiv w:val="1"/>
      <w:marLeft w:val="0"/>
      <w:marRight w:val="0"/>
      <w:marTop w:val="0"/>
      <w:marBottom w:val="0"/>
      <w:divBdr>
        <w:top w:val="none" w:sz="0" w:space="0" w:color="auto"/>
        <w:left w:val="none" w:sz="0" w:space="0" w:color="auto"/>
        <w:bottom w:val="none" w:sz="0" w:space="0" w:color="auto"/>
        <w:right w:val="none" w:sz="0" w:space="0" w:color="auto"/>
      </w:divBdr>
    </w:div>
    <w:div w:id="1273392254">
      <w:bodyDiv w:val="1"/>
      <w:marLeft w:val="0"/>
      <w:marRight w:val="0"/>
      <w:marTop w:val="0"/>
      <w:marBottom w:val="0"/>
      <w:divBdr>
        <w:top w:val="none" w:sz="0" w:space="0" w:color="auto"/>
        <w:left w:val="none" w:sz="0" w:space="0" w:color="auto"/>
        <w:bottom w:val="none" w:sz="0" w:space="0" w:color="auto"/>
        <w:right w:val="none" w:sz="0" w:space="0" w:color="auto"/>
      </w:divBdr>
    </w:div>
    <w:div w:id="1276058062">
      <w:bodyDiv w:val="1"/>
      <w:marLeft w:val="0"/>
      <w:marRight w:val="0"/>
      <w:marTop w:val="0"/>
      <w:marBottom w:val="0"/>
      <w:divBdr>
        <w:top w:val="none" w:sz="0" w:space="0" w:color="auto"/>
        <w:left w:val="none" w:sz="0" w:space="0" w:color="auto"/>
        <w:bottom w:val="none" w:sz="0" w:space="0" w:color="auto"/>
        <w:right w:val="none" w:sz="0" w:space="0" w:color="auto"/>
      </w:divBdr>
    </w:div>
    <w:div w:id="1325623154">
      <w:bodyDiv w:val="1"/>
      <w:marLeft w:val="0"/>
      <w:marRight w:val="0"/>
      <w:marTop w:val="0"/>
      <w:marBottom w:val="0"/>
      <w:divBdr>
        <w:top w:val="none" w:sz="0" w:space="0" w:color="auto"/>
        <w:left w:val="none" w:sz="0" w:space="0" w:color="auto"/>
        <w:bottom w:val="none" w:sz="0" w:space="0" w:color="auto"/>
        <w:right w:val="none" w:sz="0" w:space="0" w:color="auto"/>
      </w:divBdr>
    </w:div>
    <w:div w:id="1383096372">
      <w:bodyDiv w:val="1"/>
      <w:marLeft w:val="0"/>
      <w:marRight w:val="0"/>
      <w:marTop w:val="0"/>
      <w:marBottom w:val="0"/>
      <w:divBdr>
        <w:top w:val="none" w:sz="0" w:space="0" w:color="auto"/>
        <w:left w:val="none" w:sz="0" w:space="0" w:color="auto"/>
        <w:bottom w:val="none" w:sz="0" w:space="0" w:color="auto"/>
        <w:right w:val="none" w:sz="0" w:space="0" w:color="auto"/>
      </w:divBdr>
    </w:div>
    <w:div w:id="1389114927">
      <w:bodyDiv w:val="1"/>
      <w:marLeft w:val="0"/>
      <w:marRight w:val="0"/>
      <w:marTop w:val="0"/>
      <w:marBottom w:val="0"/>
      <w:divBdr>
        <w:top w:val="none" w:sz="0" w:space="0" w:color="auto"/>
        <w:left w:val="none" w:sz="0" w:space="0" w:color="auto"/>
        <w:bottom w:val="none" w:sz="0" w:space="0" w:color="auto"/>
        <w:right w:val="none" w:sz="0" w:space="0" w:color="auto"/>
      </w:divBdr>
    </w:div>
    <w:div w:id="1403680677">
      <w:bodyDiv w:val="1"/>
      <w:marLeft w:val="0"/>
      <w:marRight w:val="0"/>
      <w:marTop w:val="0"/>
      <w:marBottom w:val="0"/>
      <w:divBdr>
        <w:top w:val="none" w:sz="0" w:space="0" w:color="auto"/>
        <w:left w:val="none" w:sz="0" w:space="0" w:color="auto"/>
        <w:bottom w:val="none" w:sz="0" w:space="0" w:color="auto"/>
        <w:right w:val="none" w:sz="0" w:space="0" w:color="auto"/>
      </w:divBdr>
    </w:div>
    <w:div w:id="1406996600">
      <w:bodyDiv w:val="1"/>
      <w:marLeft w:val="0"/>
      <w:marRight w:val="0"/>
      <w:marTop w:val="0"/>
      <w:marBottom w:val="0"/>
      <w:divBdr>
        <w:top w:val="none" w:sz="0" w:space="0" w:color="auto"/>
        <w:left w:val="none" w:sz="0" w:space="0" w:color="auto"/>
        <w:bottom w:val="none" w:sz="0" w:space="0" w:color="auto"/>
        <w:right w:val="none" w:sz="0" w:space="0" w:color="auto"/>
      </w:divBdr>
    </w:div>
    <w:div w:id="1447191039">
      <w:bodyDiv w:val="1"/>
      <w:marLeft w:val="0"/>
      <w:marRight w:val="0"/>
      <w:marTop w:val="0"/>
      <w:marBottom w:val="0"/>
      <w:divBdr>
        <w:top w:val="none" w:sz="0" w:space="0" w:color="auto"/>
        <w:left w:val="none" w:sz="0" w:space="0" w:color="auto"/>
        <w:bottom w:val="none" w:sz="0" w:space="0" w:color="auto"/>
        <w:right w:val="none" w:sz="0" w:space="0" w:color="auto"/>
      </w:divBdr>
    </w:div>
    <w:div w:id="1585258411">
      <w:bodyDiv w:val="1"/>
      <w:marLeft w:val="0"/>
      <w:marRight w:val="0"/>
      <w:marTop w:val="0"/>
      <w:marBottom w:val="0"/>
      <w:divBdr>
        <w:top w:val="none" w:sz="0" w:space="0" w:color="auto"/>
        <w:left w:val="none" w:sz="0" w:space="0" w:color="auto"/>
        <w:bottom w:val="none" w:sz="0" w:space="0" w:color="auto"/>
        <w:right w:val="none" w:sz="0" w:space="0" w:color="auto"/>
      </w:divBdr>
    </w:div>
    <w:div w:id="1605458840">
      <w:bodyDiv w:val="1"/>
      <w:marLeft w:val="0"/>
      <w:marRight w:val="0"/>
      <w:marTop w:val="0"/>
      <w:marBottom w:val="0"/>
      <w:divBdr>
        <w:top w:val="none" w:sz="0" w:space="0" w:color="auto"/>
        <w:left w:val="none" w:sz="0" w:space="0" w:color="auto"/>
        <w:bottom w:val="none" w:sz="0" w:space="0" w:color="auto"/>
        <w:right w:val="none" w:sz="0" w:space="0" w:color="auto"/>
      </w:divBdr>
    </w:div>
    <w:div w:id="1625959495">
      <w:bodyDiv w:val="1"/>
      <w:marLeft w:val="0"/>
      <w:marRight w:val="0"/>
      <w:marTop w:val="0"/>
      <w:marBottom w:val="0"/>
      <w:divBdr>
        <w:top w:val="none" w:sz="0" w:space="0" w:color="auto"/>
        <w:left w:val="none" w:sz="0" w:space="0" w:color="auto"/>
        <w:bottom w:val="none" w:sz="0" w:space="0" w:color="auto"/>
        <w:right w:val="none" w:sz="0" w:space="0" w:color="auto"/>
      </w:divBdr>
    </w:div>
    <w:div w:id="1627278737">
      <w:bodyDiv w:val="1"/>
      <w:marLeft w:val="0"/>
      <w:marRight w:val="0"/>
      <w:marTop w:val="0"/>
      <w:marBottom w:val="0"/>
      <w:divBdr>
        <w:top w:val="none" w:sz="0" w:space="0" w:color="auto"/>
        <w:left w:val="none" w:sz="0" w:space="0" w:color="auto"/>
        <w:bottom w:val="none" w:sz="0" w:space="0" w:color="auto"/>
        <w:right w:val="none" w:sz="0" w:space="0" w:color="auto"/>
      </w:divBdr>
    </w:div>
    <w:div w:id="1643071407">
      <w:bodyDiv w:val="1"/>
      <w:marLeft w:val="0"/>
      <w:marRight w:val="0"/>
      <w:marTop w:val="0"/>
      <w:marBottom w:val="0"/>
      <w:divBdr>
        <w:top w:val="none" w:sz="0" w:space="0" w:color="auto"/>
        <w:left w:val="none" w:sz="0" w:space="0" w:color="auto"/>
        <w:bottom w:val="none" w:sz="0" w:space="0" w:color="auto"/>
        <w:right w:val="none" w:sz="0" w:space="0" w:color="auto"/>
      </w:divBdr>
    </w:div>
    <w:div w:id="1644117502">
      <w:bodyDiv w:val="1"/>
      <w:marLeft w:val="0"/>
      <w:marRight w:val="0"/>
      <w:marTop w:val="0"/>
      <w:marBottom w:val="0"/>
      <w:divBdr>
        <w:top w:val="none" w:sz="0" w:space="0" w:color="auto"/>
        <w:left w:val="none" w:sz="0" w:space="0" w:color="auto"/>
        <w:bottom w:val="none" w:sz="0" w:space="0" w:color="auto"/>
        <w:right w:val="none" w:sz="0" w:space="0" w:color="auto"/>
      </w:divBdr>
    </w:div>
    <w:div w:id="1649750458">
      <w:bodyDiv w:val="1"/>
      <w:marLeft w:val="0"/>
      <w:marRight w:val="0"/>
      <w:marTop w:val="0"/>
      <w:marBottom w:val="0"/>
      <w:divBdr>
        <w:top w:val="none" w:sz="0" w:space="0" w:color="auto"/>
        <w:left w:val="none" w:sz="0" w:space="0" w:color="auto"/>
        <w:bottom w:val="none" w:sz="0" w:space="0" w:color="auto"/>
        <w:right w:val="none" w:sz="0" w:space="0" w:color="auto"/>
      </w:divBdr>
    </w:div>
    <w:div w:id="1665084591">
      <w:bodyDiv w:val="1"/>
      <w:marLeft w:val="0"/>
      <w:marRight w:val="0"/>
      <w:marTop w:val="0"/>
      <w:marBottom w:val="0"/>
      <w:divBdr>
        <w:top w:val="none" w:sz="0" w:space="0" w:color="auto"/>
        <w:left w:val="none" w:sz="0" w:space="0" w:color="auto"/>
        <w:bottom w:val="none" w:sz="0" w:space="0" w:color="auto"/>
        <w:right w:val="none" w:sz="0" w:space="0" w:color="auto"/>
      </w:divBdr>
    </w:div>
    <w:div w:id="1674064116">
      <w:bodyDiv w:val="1"/>
      <w:marLeft w:val="0"/>
      <w:marRight w:val="0"/>
      <w:marTop w:val="0"/>
      <w:marBottom w:val="0"/>
      <w:divBdr>
        <w:top w:val="none" w:sz="0" w:space="0" w:color="auto"/>
        <w:left w:val="none" w:sz="0" w:space="0" w:color="auto"/>
        <w:bottom w:val="none" w:sz="0" w:space="0" w:color="auto"/>
        <w:right w:val="none" w:sz="0" w:space="0" w:color="auto"/>
      </w:divBdr>
    </w:div>
    <w:div w:id="1687250875">
      <w:bodyDiv w:val="1"/>
      <w:marLeft w:val="0"/>
      <w:marRight w:val="0"/>
      <w:marTop w:val="0"/>
      <w:marBottom w:val="0"/>
      <w:divBdr>
        <w:top w:val="none" w:sz="0" w:space="0" w:color="auto"/>
        <w:left w:val="none" w:sz="0" w:space="0" w:color="auto"/>
        <w:bottom w:val="none" w:sz="0" w:space="0" w:color="auto"/>
        <w:right w:val="none" w:sz="0" w:space="0" w:color="auto"/>
      </w:divBdr>
    </w:div>
    <w:div w:id="1718242082">
      <w:bodyDiv w:val="1"/>
      <w:marLeft w:val="0"/>
      <w:marRight w:val="0"/>
      <w:marTop w:val="0"/>
      <w:marBottom w:val="0"/>
      <w:divBdr>
        <w:top w:val="none" w:sz="0" w:space="0" w:color="auto"/>
        <w:left w:val="none" w:sz="0" w:space="0" w:color="auto"/>
        <w:bottom w:val="none" w:sz="0" w:space="0" w:color="auto"/>
        <w:right w:val="none" w:sz="0" w:space="0" w:color="auto"/>
      </w:divBdr>
    </w:div>
    <w:div w:id="1719743337">
      <w:bodyDiv w:val="1"/>
      <w:marLeft w:val="0"/>
      <w:marRight w:val="0"/>
      <w:marTop w:val="0"/>
      <w:marBottom w:val="0"/>
      <w:divBdr>
        <w:top w:val="none" w:sz="0" w:space="0" w:color="auto"/>
        <w:left w:val="none" w:sz="0" w:space="0" w:color="auto"/>
        <w:bottom w:val="none" w:sz="0" w:space="0" w:color="auto"/>
        <w:right w:val="none" w:sz="0" w:space="0" w:color="auto"/>
      </w:divBdr>
    </w:div>
    <w:div w:id="1729067912">
      <w:bodyDiv w:val="1"/>
      <w:marLeft w:val="0"/>
      <w:marRight w:val="0"/>
      <w:marTop w:val="0"/>
      <w:marBottom w:val="0"/>
      <w:divBdr>
        <w:top w:val="none" w:sz="0" w:space="0" w:color="auto"/>
        <w:left w:val="none" w:sz="0" w:space="0" w:color="auto"/>
        <w:bottom w:val="none" w:sz="0" w:space="0" w:color="auto"/>
        <w:right w:val="none" w:sz="0" w:space="0" w:color="auto"/>
      </w:divBdr>
    </w:div>
    <w:div w:id="1755130578">
      <w:bodyDiv w:val="1"/>
      <w:marLeft w:val="0"/>
      <w:marRight w:val="0"/>
      <w:marTop w:val="0"/>
      <w:marBottom w:val="0"/>
      <w:divBdr>
        <w:top w:val="none" w:sz="0" w:space="0" w:color="auto"/>
        <w:left w:val="none" w:sz="0" w:space="0" w:color="auto"/>
        <w:bottom w:val="none" w:sz="0" w:space="0" w:color="auto"/>
        <w:right w:val="none" w:sz="0" w:space="0" w:color="auto"/>
      </w:divBdr>
    </w:div>
    <w:div w:id="1755131576">
      <w:bodyDiv w:val="1"/>
      <w:marLeft w:val="0"/>
      <w:marRight w:val="0"/>
      <w:marTop w:val="0"/>
      <w:marBottom w:val="0"/>
      <w:divBdr>
        <w:top w:val="none" w:sz="0" w:space="0" w:color="auto"/>
        <w:left w:val="none" w:sz="0" w:space="0" w:color="auto"/>
        <w:bottom w:val="none" w:sz="0" w:space="0" w:color="auto"/>
        <w:right w:val="none" w:sz="0" w:space="0" w:color="auto"/>
      </w:divBdr>
    </w:div>
    <w:div w:id="1759643085">
      <w:bodyDiv w:val="1"/>
      <w:marLeft w:val="0"/>
      <w:marRight w:val="0"/>
      <w:marTop w:val="0"/>
      <w:marBottom w:val="0"/>
      <w:divBdr>
        <w:top w:val="none" w:sz="0" w:space="0" w:color="auto"/>
        <w:left w:val="none" w:sz="0" w:space="0" w:color="auto"/>
        <w:bottom w:val="none" w:sz="0" w:space="0" w:color="auto"/>
        <w:right w:val="none" w:sz="0" w:space="0" w:color="auto"/>
      </w:divBdr>
    </w:div>
    <w:div w:id="1774012425">
      <w:bodyDiv w:val="1"/>
      <w:marLeft w:val="0"/>
      <w:marRight w:val="0"/>
      <w:marTop w:val="0"/>
      <w:marBottom w:val="0"/>
      <w:divBdr>
        <w:top w:val="none" w:sz="0" w:space="0" w:color="auto"/>
        <w:left w:val="none" w:sz="0" w:space="0" w:color="auto"/>
        <w:bottom w:val="none" w:sz="0" w:space="0" w:color="auto"/>
        <w:right w:val="none" w:sz="0" w:space="0" w:color="auto"/>
      </w:divBdr>
    </w:div>
    <w:div w:id="1778282695">
      <w:bodyDiv w:val="1"/>
      <w:marLeft w:val="0"/>
      <w:marRight w:val="0"/>
      <w:marTop w:val="0"/>
      <w:marBottom w:val="0"/>
      <w:divBdr>
        <w:top w:val="none" w:sz="0" w:space="0" w:color="auto"/>
        <w:left w:val="none" w:sz="0" w:space="0" w:color="auto"/>
        <w:bottom w:val="none" w:sz="0" w:space="0" w:color="auto"/>
        <w:right w:val="none" w:sz="0" w:space="0" w:color="auto"/>
      </w:divBdr>
    </w:div>
    <w:div w:id="1808544319">
      <w:bodyDiv w:val="1"/>
      <w:marLeft w:val="0"/>
      <w:marRight w:val="0"/>
      <w:marTop w:val="0"/>
      <w:marBottom w:val="0"/>
      <w:divBdr>
        <w:top w:val="none" w:sz="0" w:space="0" w:color="auto"/>
        <w:left w:val="none" w:sz="0" w:space="0" w:color="auto"/>
        <w:bottom w:val="none" w:sz="0" w:space="0" w:color="auto"/>
        <w:right w:val="none" w:sz="0" w:space="0" w:color="auto"/>
      </w:divBdr>
    </w:div>
    <w:div w:id="1809516680">
      <w:bodyDiv w:val="1"/>
      <w:marLeft w:val="0"/>
      <w:marRight w:val="0"/>
      <w:marTop w:val="0"/>
      <w:marBottom w:val="0"/>
      <w:divBdr>
        <w:top w:val="none" w:sz="0" w:space="0" w:color="auto"/>
        <w:left w:val="none" w:sz="0" w:space="0" w:color="auto"/>
        <w:bottom w:val="none" w:sz="0" w:space="0" w:color="auto"/>
        <w:right w:val="none" w:sz="0" w:space="0" w:color="auto"/>
      </w:divBdr>
    </w:div>
    <w:div w:id="1901865481">
      <w:bodyDiv w:val="1"/>
      <w:marLeft w:val="0"/>
      <w:marRight w:val="0"/>
      <w:marTop w:val="0"/>
      <w:marBottom w:val="0"/>
      <w:divBdr>
        <w:top w:val="none" w:sz="0" w:space="0" w:color="auto"/>
        <w:left w:val="none" w:sz="0" w:space="0" w:color="auto"/>
        <w:bottom w:val="none" w:sz="0" w:space="0" w:color="auto"/>
        <w:right w:val="none" w:sz="0" w:space="0" w:color="auto"/>
      </w:divBdr>
    </w:div>
    <w:div w:id="1937858592">
      <w:bodyDiv w:val="1"/>
      <w:marLeft w:val="0"/>
      <w:marRight w:val="0"/>
      <w:marTop w:val="0"/>
      <w:marBottom w:val="0"/>
      <w:divBdr>
        <w:top w:val="none" w:sz="0" w:space="0" w:color="auto"/>
        <w:left w:val="none" w:sz="0" w:space="0" w:color="auto"/>
        <w:bottom w:val="none" w:sz="0" w:space="0" w:color="auto"/>
        <w:right w:val="none" w:sz="0" w:space="0" w:color="auto"/>
      </w:divBdr>
    </w:div>
    <w:div w:id="1959143400">
      <w:bodyDiv w:val="1"/>
      <w:marLeft w:val="0"/>
      <w:marRight w:val="0"/>
      <w:marTop w:val="0"/>
      <w:marBottom w:val="0"/>
      <w:divBdr>
        <w:top w:val="none" w:sz="0" w:space="0" w:color="auto"/>
        <w:left w:val="none" w:sz="0" w:space="0" w:color="auto"/>
        <w:bottom w:val="none" w:sz="0" w:space="0" w:color="auto"/>
        <w:right w:val="none" w:sz="0" w:space="0" w:color="auto"/>
      </w:divBdr>
    </w:div>
    <w:div w:id="1986658457">
      <w:bodyDiv w:val="1"/>
      <w:marLeft w:val="0"/>
      <w:marRight w:val="0"/>
      <w:marTop w:val="0"/>
      <w:marBottom w:val="0"/>
      <w:divBdr>
        <w:top w:val="none" w:sz="0" w:space="0" w:color="auto"/>
        <w:left w:val="none" w:sz="0" w:space="0" w:color="auto"/>
        <w:bottom w:val="none" w:sz="0" w:space="0" w:color="auto"/>
        <w:right w:val="none" w:sz="0" w:space="0" w:color="auto"/>
      </w:divBdr>
    </w:div>
    <w:div w:id="2006739460">
      <w:bodyDiv w:val="1"/>
      <w:marLeft w:val="0"/>
      <w:marRight w:val="0"/>
      <w:marTop w:val="0"/>
      <w:marBottom w:val="0"/>
      <w:divBdr>
        <w:top w:val="none" w:sz="0" w:space="0" w:color="auto"/>
        <w:left w:val="none" w:sz="0" w:space="0" w:color="auto"/>
        <w:bottom w:val="none" w:sz="0" w:space="0" w:color="auto"/>
        <w:right w:val="none" w:sz="0" w:space="0" w:color="auto"/>
      </w:divBdr>
    </w:div>
    <w:div w:id="2090420247">
      <w:bodyDiv w:val="1"/>
      <w:marLeft w:val="0"/>
      <w:marRight w:val="0"/>
      <w:marTop w:val="0"/>
      <w:marBottom w:val="0"/>
      <w:divBdr>
        <w:top w:val="none" w:sz="0" w:space="0" w:color="auto"/>
        <w:left w:val="none" w:sz="0" w:space="0" w:color="auto"/>
        <w:bottom w:val="none" w:sz="0" w:space="0" w:color="auto"/>
        <w:right w:val="none" w:sz="0" w:space="0" w:color="auto"/>
      </w:divBdr>
    </w:div>
    <w:div w:id="213903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00" b="1">
                <a:solidFill>
                  <a:schemeClr val="tx1"/>
                </a:solidFill>
                <a:latin typeface="Arial" panose="020B0604020202020204" pitchFamily="34" charset="0"/>
                <a:cs typeface="Arial" panose="020B0604020202020204" pitchFamily="34" charset="0"/>
              </a:rPr>
              <a:t>Total food and beverage dollar and unit sales at retail</a:t>
            </a:r>
          </a:p>
        </c:rich>
      </c:tx>
      <c:layout>
        <c:manualLayout>
          <c:xMode val="edge"/>
          <c:yMode val="edge"/>
          <c:x val="1.9178837720901756E-2"/>
          <c:y val="2.9077186247241482E-2"/>
        </c:manualLayout>
      </c:layout>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title>
    <c:autoTitleDeleted val="0"/>
    <c:plotArea>
      <c:layout>
        <c:manualLayout>
          <c:layoutTarget val="inner"/>
          <c:xMode val="edge"/>
          <c:yMode val="edge"/>
          <c:x val="1.359180578052E-2"/>
          <c:y val="0.26244995494966117"/>
          <c:w val="0.94280930400941265"/>
          <c:h val="0.62914717749833504"/>
        </c:manualLayout>
      </c:layout>
      <c:barChart>
        <c:barDir val="col"/>
        <c:grouping val="clustered"/>
        <c:varyColors val="0"/>
        <c:ser>
          <c:idx val="0"/>
          <c:order val="0"/>
          <c:tx>
            <c:strRef>
              <c:f>Sheet1!$B$1</c:f>
              <c:strCache>
                <c:ptCount val="1"/>
                <c:pt idx="0">
                  <c:v>Dollars vs. YA</c:v>
                </c:pt>
              </c:strCache>
            </c:strRef>
          </c:tx>
          <c:spPr>
            <a:solidFill>
              <a:schemeClr val="tx2">
                <a:lumMod val="75000"/>
              </a:schemeClr>
            </a:solidFill>
            <a:ln>
              <a:noFill/>
            </a:ln>
            <a:effectLst/>
          </c:spPr>
          <c:invertIfNegative val="0"/>
          <c:dPt>
            <c:idx val="0"/>
            <c:invertIfNegative val="0"/>
            <c:bubble3D val="0"/>
            <c:spPr>
              <a:solidFill>
                <a:schemeClr val="tx2">
                  <a:lumMod val="75000"/>
                </a:schemeClr>
              </a:solidFill>
              <a:ln>
                <a:noFill/>
              </a:ln>
              <a:effectLst/>
            </c:spPr>
            <c:extLst>
              <c:ext xmlns:c16="http://schemas.microsoft.com/office/drawing/2014/chart" uri="{C3380CC4-5D6E-409C-BE32-E72D297353CC}">
                <c16:uniqueId val="{00000001-B9F7-4183-8551-0DAF1E74A586}"/>
              </c:ext>
            </c:extLst>
          </c:dPt>
          <c:dPt>
            <c:idx val="1"/>
            <c:invertIfNegative val="0"/>
            <c:bubble3D val="0"/>
            <c:spPr>
              <a:solidFill>
                <a:schemeClr val="tx2">
                  <a:lumMod val="75000"/>
                </a:schemeClr>
              </a:solidFill>
              <a:ln>
                <a:noFill/>
              </a:ln>
              <a:effectLst/>
            </c:spPr>
            <c:extLst>
              <c:ext xmlns:c16="http://schemas.microsoft.com/office/drawing/2014/chart" uri="{C3380CC4-5D6E-409C-BE32-E72D297353CC}">
                <c16:uniqueId val="{00000003-B9F7-4183-8551-0DAF1E74A586}"/>
              </c:ext>
            </c:extLst>
          </c:dPt>
          <c:dPt>
            <c:idx val="3"/>
            <c:invertIfNegative val="0"/>
            <c:bubble3D val="0"/>
            <c:spPr>
              <a:solidFill>
                <a:schemeClr val="tx2">
                  <a:lumMod val="75000"/>
                </a:schemeClr>
              </a:solidFill>
              <a:ln>
                <a:noFill/>
              </a:ln>
              <a:effectLst/>
            </c:spPr>
            <c:extLst>
              <c:ext xmlns:c16="http://schemas.microsoft.com/office/drawing/2014/chart" uri="{C3380CC4-5D6E-409C-BE32-E72D297353CC}">
                <c16:uniqueId val="{00000005-B9F7-4183-8551-0DAF1E74A586}"/>
              </c:ext>
            </c:extLst>
          </c:dPt>
          <c:dPt>
            <c:idx val="4"/>
            <c:invertIfNegative val="0"/>
            <c:bubble3D val="0"/>
            <c:spPr>
              <a:solidFill>
                <a:schemeClr val="tx2">
                  <a:lumMod val="75000"/>
                </a:schemeClr>
              </a:solidFill>
              <a:ln>
                <a:noFill/>
              </a:ln>
              <a:effectLst/>
            </c:spPr>
            <c:extLst>
              <c:ext xmlns:c16="http://schemas.microsoft.com/office/drawing/2014/chart" uri="{C3380CC4-5D6E-409C-BE32-E72D297353CC}">
                <c16:uniqueId val="{00000007-B9F7-4183-8551-0DAF1E74A586}"/>
              </c:ext>
            </c:extLst>
          </c:dPt>
          <c:dPt>
            <c:idx val="5"/>
            <c:invertIfNegative val="0"/>
            <c:bubble3D val="0"/>
            <c:spPr>
              <a:solidFill>
                <a:schemeClr val="tx2">
                  <a:lumMod val="75000"/>
                </a:schemeClr>
              </a:solidFill>
              <a:ln>
                <a:noFill/>
              </a:ln>
              <a:effectLst/>
            </c:spPr>
            <c:extLst>
              <c:ext xmlns:c16="http://schemas.microsoft.com/office/drawing/2014/chart" uri="{C3380CC4-5D6E-409C-BE32-E72D297353CC}">
                <c16:uniqueId val="{00000009-B9F7-4183-8551-0DAF1E74A586}"/>
              </c:ext>
            </c:extLst>
          </c:dPt>
          <c:dPt>
            <c:idx val="6"/>
            <c:invertIfNegative val="0"/>
            <c:bubble3D val="0"/>
            <c:spPr>
              <a:solidFill>
                <a:schemeClr val="tx2">
                  <a:lumMod val="75000"/>
                </a:schemeClr>
              </a:solidFill>
              <a:ln>
                <a:noFill/>
              </a:ln>
              <a:effectLst/>
            </c:spPr>
            <c:extLst>
              <c:ext xmlns:c16="http://schemas.microsoft.com/office/drawing/2014/chart" uri="{C3380CC4-5D6E-409C-BE32-E72D297353CC}">
                <c16:uniqueId val="{0000000B-B9F7-4183-8551-0DAF1E74A586}"/>
              </c:ext>
            </c:extLst>
          </c:dPt>
          <c:dLbls>
            <c:dLbl>
              <c:idx val="3"/>
              <c:layout>
                <c:manualLayout>
                  <c:x val="-2.5763235862424319E-3"/>
                  <c:y val="6.633499170812603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9F7-4183-8551-0DAF1E74A586}"/>
                </c:ext>
              </c:extLst>
            </c:dLbl>
            <c:dLbl>
              <c:idx val="5"/>
              <c:layout>
                <c:manualLayout>
                  <c:x val="-1.0305294344969823E-2"/>
                  <c:y val="6.633499170812603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9F7-4183-8551-0DAF1E74A586}"/>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2">
                        <a:lumMod val="75000"/>
                      </a:schemeClr>
                    </a:solidFill>
                    <a:latin typeface="Arial" panose="020B0604020202020204" pitchFamily="34" charset="0"/>
                    <a:ea typeface="+mn-ea"/>
                    <a:cs typeface="Arial" panose="020B0604020202020204" pitchFamily="34" charset="0"/>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CY 2025</c:v>
                </c:pt>
                <c:pt idx="1">
                  <c:v>Q4 2025</c:v>
                </c:pt>
                <c:pt idx="2">
                  <c:v>Q1 2026</c:v>
                </c:pt>
                <c:pt idx="3">
                  <c:v>w.e. 03-08-26</c:v>
                </c:pt>
                <c:pt idx="4">
                  <c:v>w.e. 03-15-26</c:v>
                </c:pt>
                <c:pt idx="5">
                  <c:v>w.e. 03-22-26</c:v>
                </c:pt>
                <c:pt idx="6">
                  <c:v>w.e. 03-29-26</c:v>
                </c:pt>
              </c:strCache>
            </c:strRef>
          </c:cat>
          <c:val>
            <c:numRef>
              <c:f>Sheet1!$B$2:$B$8</c:f>
              <c:numCache>
                <c:formatCode>0.0%</c:formatCode>
                <c:ptCount val="7"/>
                <c:pt idx="0">
                  <c:v>3.4000000000000002E-2</c:v>
                </c:pt>
                <c:pt idx="1">
                  <c:v>2.4E-2</c:v>
                </c:pt>
                <c:pt idx="2">
                  <c:v>2.3E-2</c:v>
                </c:pt>
                <c:pt idx="3">
                  <c:v>6.0000000000000001E-3</c:v>
                </c:pt>
                <c:pt idx="4">
                  <c:v>1.4999999999999999E-2</c:v>
                </c:pt>
                <c:pt idx="5">
                  <c:v>1.9E-2</c:v>
                </c:pt>
                <c:pt idx="6">
                  <c:v>2.8000000000000001E-2</c:v>
                </c:pt>
              </c:numCache>
            </c:numRef>
          </c:val>
          <c:extLst>
            <c:ext xmlns:c16="http://schemas.microsoft.com/office/drawing/2014/chart" uri="{C3380CC4-5D6E-409C-BE32-E72D297353CC}">
              <c16:uniqueId val="{0000000C-B9F7-4183-8551-0DAF1E74A586}"/>
            </c:ext>
          </c:extLst>
        </c:ser>
        <c:ser>
          <c:idx val="1"/>
          <c:order val="1"/>
          <c:tx>
            <c:strRef>
              <c:f>Sheet1!$C$1</c:f>
              <c:strCache>
                <c:ptCount val="1"/>
                <c:pt idx="0">
                  <c:v>Units vs. YA</c:v>
                </c:pt>
              </c:strCache>
            </c:strRef>
          </c:tx>
          <c:spPr>
            <a:solidFill>
              <a:schemeClr val="tx1">
                <a:lumMod val="50000"/>
                <a:lumOff val="50000"/>
              </a:schemeClr>
            </a:solidFill>
            <a:ln>
              <a:noFill/>
            </a:ln>
            <a:effectLst/>
          </c:spPr>
          <c:invertIfNegative val="0"/>
          <c:dLbls>
            <c:dLbl>
              <c:idx val="0"/>
              <c:layout>
                <c:manualLayout>
                  <c:x val="1.0520778537611783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9F7-4183-8551-0DAF1E74A586}"/>
                </c:ext>
              </c:extLst>
            </c:dLbl>
            <c:dLbl>
              <c:idx val="1"/>
              <c:layout>
                <c:manualLayout>
                  <c:x val="5.6737588652481753E-3"/>
                  <c:y val="6.633499170812603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9F7-4183-8551-0DAF1E74A586}"/>
                </c:ext>
              </c:extLst>
            </c:dLbl>
            <c:dLbl>
              <c:idx val="2"/>
              <c:layout>
                <c:manualLayout>
                  <c:x val="0"/>
                  <c:y val="1.326804298716391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9F7-4183-8551-0DAF1E74A586}"/>
                </c:ext>
              </c:extLst>
            </c:dLbl>
            <c:dLbl>
              <c:idx val="3"/>
              <c:layout>
                <c:manualLayout>
                  <c:x val="5.6737948333554786E-3"/>
                  <c:y val="6.634543816351314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9F7-4183-8551-0DAF1E74A586}"/>
                </c:ext>
              </c:extLst>
            </c:dLbl>
            <c:dLbl>
              <c:idx val="4"/>
              <c:layout>
                <c:manualLayout>
                  <c:x val="1.6239561578697971E-2"/>
                  <c:y val="5.2232276935532309E-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9F7-4183-8551-0DAF1E74A586}"/>
                </c:ext>
              </c:extLst>
            </c:dLbl>
            <c:dLbl>
              <c:idx val="5"/>
              <c:layout>
                <c:manualLayout>
                  <c:x val="1.2881617931212255E-2"/>
                  <c:y val="6.633499170812603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9F7-4183-8551-0DAF1E74A586}"/>
                </c:ext>
              </c:extLst>
            </c:dLbl>
            <c:dLbl>
              <c:idx val="6"/>
              <c:layout>
                <c:manualLayout>
                  <c:x val="8.5106382978723406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9F7-4183-8551-0DAF1E74A586}"/>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85000"/>
                        <a:lumOff val="15000"/>
                      </a:schemeClr>
                    </a:solidFill>
                    <a:latin typeface="Arial" panose="020B0604020202020204" pitchFamily="34" charset="0"/>
                    <a:ea typeface="+mn-ea"/>
                    <a:cs typeface="Arial" panose="020B0604020202020204" pitchFamily="34" charset="0"/>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CY 2025</c:v>
                </c:pt>
                <c:pt idx="1">
                  <c:v>Q4 2025</c:v>
                </c:pt>
                <c:pt idx="2">
                  <c:v>Q1 2026</c:v>
                </c:pt>
                <c:pt idx="3">
                  <c:v>w.e. 03-08-26</c:v>
                </c:pt>
                <c:pt idx="4">
                  <c:v>w.e. 03-15-26</c:v>
                </c:pt>
                <c:pt idx="5">
                  <c:v>w.e. 03-22-26</c:v>
                </c:pt>
                <c:pt idx="6">
                  <c:v>w.e. 03-29-26</c:v>
                </c:pt>
              </c:strCache>
            </c:strRef>
          </c:cat>
          <c:val>
            <c:numRef>
              <c:f>Sheet1!$C$2:$C$8</c:f>
              <c:numCache>
                <c:formatCode>0.0%</c:formatCode>
                <c:ptCount val="7"/>
                <c:pt idx="0">
                  <c:v>6.0000000000000001E-3</c:v>
                </c:pt>
                <c:pt idx="1">
                  <c:v>5.0000000000000001E-3</c:v>
                </c:pt>
                <c:pt idx="2">
                  <c:v>5.0000000000000001E-3</c:v>
                </c:pt>
                <c:pt idx="3">
                  <c:v>-1.4999999999999999E-2</c:v>
                </c:pt>
                <c:pt idx="4">
                  <c:v>2E-3</c:v>
                </c:pt>
                <c:pt idx="5">
                  <c:v>7.0000000000000001E-3</c:v>
                </c:pt>
                <c:pt idx="6">
                  <c:v>1.2999999999999999E-2</c:v>
                </c:pt>
              </c:numCache>
            </c:numRef>
          </c:val>
          <c:extLst>
            <c:ext xmlns:c16="http://schemas.microsoft.com/office/drawing/2014/chart" uri="{C3380CC4-5D6E-409C-BE32-E72D297353CC}">
              <c16:uniqueId val="{00000014-B9F7-4183-8551-0DAF1E74A586}"/>
            </c:ext>
          </c:extLst>
        </c:ser>
        <c:dLbls>
          <c:dLblPos val="outEnd"/>
          <c:showLegendKey val="0"/>
          <c:showVal val="1"/>
          <c:showCatName val="0"/>
          <c:showSerName val="0"/>
          <c:showPercent val="0"/>
          <c:showBubbleSize val="0"/>
        </c:dLbls>
        <c:gapWidth val="219"/>
        <c:overlap val="-27"/>
        <c:axId val="1572581904"/>
        <c:axId val="1572585744"/>
      </c:barChart>
      <c:catAx>
        <c:axId val="157258190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nl-NL"/>
          </a:p>
        </c:txPr>
        <c:crossAx val="1572585744"/>
        <c:crosses val="autoZero"/>
        <c:auto val="1"/>
        <c:lblAlgn val="ctr"/>
        <c:lblOffset val="100"/>
        <c:noMultiLvlLbl val="0"/>
      </c:catAx>
      <c:valAx>
        <c:axId val="1572585744"/>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1572581904"/>
        <c:crosses val="autoZero"/>
        <c:crossBetween val="between"/>
      </c:valAx>
      <c:spPr>
        <a:noFill/>
        <a:ln>
          <a:noFill/>
        </a:ln>
        <a:effectLst/>
      </c:spPr>
    </c:plotArea>
    <c:legend>
      <c:legendPos val="b"/>
      <c:layout>
        <c:manualLayout>
          <c:xMode val="edge"/>
          <c:yMode val="edge"/>
          <c:x val="0.6309350590682502"/>
          <c:y val="3.1785426115021845E-2"/>
          <c:w val="0.33580013495925115"/>
          <c:h val="0.11930094104090649"/>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100" b="1"/>
              <a:t>The meat department | Dollar and volume sale vs. YA</a:t>
            </a:r>
            <a:endParaRPr lang="nl-NL" sz="1100" b="1"/>
          </a:p>
        </c:rich>
      </c:tx>
      <c:layout>
        <c:manualLayout>
          <c:xMode val="edge"/>
          <c:yMode val="edge"/>
          <c:x val="3.1307779235928826E-2"/>
          <c:y val="2.3809523809523808E-2"/>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title>
    <c:autoTitleDeleted val="0"/>
    <c:plotArea>
      <c:layout>
        <c:manualLayout>
          <c:layoutTarget val="inner"/>
          <c:xMode val="edge"/>
          <c:yMode val="edge"/>
          <c:x val="9.250984251968504E-2"/>
          <c:y val="0.14009967504061993"/>
          <c:w val="0.88202719451735201"/>
          <c:h val="0.81624953130858646"/>
        </c:manualLayout>
      </c:layout>
      <c:lineChart>
        <c:grouping val="standard"/>
        <c:varyColors val="0"/>
        <c:ser>
          <c:idx val="0"/>
          <c:order val="0"/>
          <c:tx>
            <c:strRef>
              <c:f>Blad1!$B$1</c:f>
              <c:strCache>
                <c:ptCount val="1"/>
                <c:pt idx="0">
                  <c:v>$ vs. YA</c:v>
                </c:pt>
              </c:strCache>
            </c:strRef>
          </c:tx>
          <c:spPr>
            <a:ln w="28575" cap="rnd">
              <a:solidFill>
                <a:srgbClr val="00B0F0"/>
              </a:solidFill>
              <a:round/>
            </a:ln>
            <a:effectLst/>
          </c:spPr>
          <c:marker>
            <c:symbol val="circle"/>
            <c:size val="5"/>
            <c:spPr>
              <a:solidFill>
                <a:srgbClr val="00B0F0"/>
              </a:solidFill>
              <a:ln w="9525">
                <a:noFill/>
              </a:ln>
              <a:effectLst/>
            </c:spPr>
          </c:marker>
          <c:dLbls>
            <c:dLbl>
              <c:idx val="1"/>
              <c:layout>
                <c:manualLayout>
                  <c:x val="-2.6312844323440953E-2"/>
                  <c:y val="-8.34494872036534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DEE-48F9-91C5-63060273C2D6}"/>
                </c:ext>
              </c:extLst>
            </c:dLbl>
            <c:dLbl>
              <c:idx val="10"/>
              <c:layout>
                <c:manualLayout>
                  <c:x val="-3.5877645853809162E-2"/>
                  <c:y val="-5.11328132038415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DFC-469C-81F6-8603C3906848}"/>
                </c:ext>
              </c:extLst>
            </c:dLbl>
            <c:dLbl>
              <c:idx val="14"/>
              <c:layout>
                <c:manualLayout>
                  <c:x val="-2.9507638661379808E-2"/>
                  <c:y val="-4.606929854591983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DEE-48F9-91C5-63060273C2D6}"/>
                </c:ext>
              </c:extLst>
            </c:dLbl>
            <c:dLbl>
              <c:idx val="15"/>
              <c:layout>
                <c:manualLayout>
                  <c:x val="-1.2366459931389495E-2"/>
                  <c:y val="-5.909822631599782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F5B-470F-9118-6A81595F8FCA}"/>
                </c:ext>
              </c:extLst>
            </c:dLbl>
            <c:dLbl>
              <c:idx val="16"/>
              <c:layout>
                <c:manualLayout>
                  <c:x val="-3.0932718776006656E-3"/>
                  <c:y val="-6.13379676746756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9D1-4479-BAB2-8DBCBF160FB5}"/>
                </c:ext>
              </c:extLst>
            </c:dLbl>
            <c:spPr>
              <a:noFill/>
              <a:ln>
                <a:noFill/>
              </a:ln>
              <a:effectLst/>
            </c:spPr>
            <c:txPr>
              <a:bodyPr rot="0" spcFirstLastPara="1" vertOverflow="ellipsis" vert="horz" wrap="square" anchor="ctr" anchorCtr="1"/>
              <a:lstStyle/>
              <a:p>
                <a:pPr>
                  <a:defRPr sz="900" b="0" i="0" u="none" strike="noStrike" kern="1200" baseline="0">
                    <a:solidFill>
                      <a:srgbClr val="00B0F0"/>
                    </a:solidFill>
                    <a:latin typeface="Arial" panose="020B0604020202020204" pitchFamily="34" charset="0"/>
                    <a:ea typeface="+mn-ea"/>
                    <a:cs typeface="Arial" panose="020B0604020202020204" pitchFamily="34" charset="0"/>
                  </a:defRPr>
                </a:pPr>
                <a:endParaRPr lang="nl-N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Blad1!$A$2:$A$18</c:f>
              <c:strCache>
                <c:ptCount val="17"/>
                <c:pt idx="0">
                  <c:v>2020</c:v>
                </c:pt>
                <c:pt idx="1">
                  <c:v>2021</c:v>
                </c:pt>
                <c:pt idx="2">
                  <c:v>2022</c:v>
                </c:pt>
                <c:pt idx="3">
                  <c:v>Q1 23</c:v>
                </c:pt>
                <c:pt idx="4">
                  <c:v>Q2 23</c:v>
                </c:pt>
                <c:pt idx="5">
                  <c:v>Q3 23</c:v>
                </c:pt>
                <c:pt idx="6">
                  <c:v>Q4 23</c:v>
                </c:pt>
                <c:pt idx="7">
                  <c:v>Q1 24</c:v>
                </c:pt>
                <c:pt idx="8">
                  <c:v>Q2 24</c:v>
                </c:pt>
                <c:pt idx="9">
                  <c:v>Q3 24</c:v>
                </c:pt>
                <c:pt idx="10">
                  <c:v>Q4 24</c:v>
                </c:pt>
                <c:pt idx="11">
                  <c:v>Q1 25</c:v>
                </c:pt>
                <c:pt idx="12">
                  <c:v>Q2 25</c:v>
                </c:pt>
                <c:pt idx="13">
                  <c:v>Q3 25</c:v>
                </c:pt>
                <c:pt idx="14">
                  <c:v>Q4 25</c:v>
                </c:pt>
                <c:pt idx="15">
                  <c:v>Q1 26</c:v>
                </c:pt>
                <c:pt idx="16">
                  <c:v>mrt-26</c:v>
                </c:pt>
              </c:strCache>
            </c:strRef>
          </c:cat>
          <c:val>
            <c:numRef>
              <c:f>Blad1!$B$2:$B$18</c:f>
              <c:numCache>
                <c:formatCode>0.0%</c:formatCode>
                <c:ptCount val="17"/>
                <c:pt idx="0">
                  <c:v>0.20627481378257578</c:v>
                </c:pt>
                <c:pt idx="1">
                  <c:v>9.4229442837711497E-3</c:v>
                </c:pt>
                <c:pt idx="2">
                  <c:v>6.6000000000000003E-2</c:v>
                </c:pt>
                <c:pt idx="3">
                  <c:v>9.3492732373047973E-3</c:v>
                </c:pt>
                <c:pt idx="4">
                  <c:v>-3.724121771272859E-4</c:v>
                </c:pt>
                <c:pt idx="5">
                  <c:v>-8.4158877524025365E-3</c:v>
                </c:pt>
                <c:pt idx="6">
                  <c:v>3.2584874881709798E-3</c:v>
                </c:pt>
                <c:pt idx="7">
                  <c:v>4.3999999999999997E-2</c:v>
                </c:pt>
                <c:pt idx="8">
                  <c:v>2.9000000000000001E-2</c:v>
                </c:pt>
                <c:pt idx="9">
                  <c:v>6.0999999999999999E-2</c:v>
                </c:pt>
                <c:pt idx="10">
                  <c:v>4.9000000000000002E-2</c:v>
                </c:pt>
                <c:pt idx="11">
                  <c:v>6.5000000000000002E-2</c:v>
                </c:pt>
                <c:pt idx="12">
                  <c:v>7.2999999999999995E-2</c:v>
                </c:pt>
                <c:pt idx="13">
                  <c:v>6.6000000000000003E-2</c:v>
                </c:pt>
                <c:pt idx="14">
                  <c:v>6.2E-2</c:v>
                </c:pt>
                <c:pt idx="15">
                  <c:v>5.6000000000000001E-2</c:v>
                </c:pt>
                <c:pt idx="16">
                  <c:v>0.05</c:v>
                </c:pt>
              </c:numCache>
            </c:numRef>
          </c:val>
          <c:smooth val="0"/>
          <c:extLst>
            <c:ext xmlns:c16="http://schemas.microsoft.com/office/drawing/2014/chart" uri="{C3380CC4-5D6E-409C-BE32-E72D297353CC}">
              <c16:uniqueId val="{00000002-EDEE-48F9-91C5-63060273C2D6}"/>
            </c:ext>
          </c:extLst>
        </c:ser>
        <c:ser>
          <c:idx val="1"/>
          <c:order val="1"/>
          <c:tx>
            <c:strRef>
              <c:f>Blad1!$C$1</c:f>
              <c:strCache>
                <c:ptCount val="1"/>
                <c:pt idx="0">
                  <c:v>Lbs vs. YA</c:v>
                </c:pt>
              </c:strCache>
            </c:strRef>
          </c:tx>
          <c:spPr>
            <a:ln w="28575" cap="rnd">
              <a:solidFill>
                <a:schemeClr val="tx2">
                  <a:lumMod val="75000"/>
                </a:schemeClr>
              </a:solidFill>
              <a:round/>
            </a:ln>
            <a:effectLst/>
          </c:spPr>
          <c:marker>
            <c:symbol val="circle"/>
            <c:size val="5"/>
            <c:spPr>
              <a:solidFill>
                <a:schemeClr val="tx2">
                  <a:lumMod val="75000"/>
                </a:schemeClr>
              </a:solidFill>
              <a:ln w="9525">
                <a:solidFill>
                  <a:schemeClr val="tx2">
                    <a:lumMod val="75000"/>
                  </a:schemeClr>
                </a:solidFill>
              </a:ln>
              <a:effectLst/>
            </c:spPr>
          </c:marker>
          <c:dLbls>
            <c:dLbl>
              <c:idx val="1"/>
              <c:layout>
                <c:manualLayout>
                  <c:x val="-3.8742266255455515E-2"/>
                  <c:y val="2.97169981064662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DEE-48F9-91C5-63060273C2D6}"/>
                </c:ext>
              </c:extLst>
            </c:dLbl>
            <c:dLbl>
              <c:idx val="2"/>
              <c:layout>
                <c:manualLayout>
                  <c:x val="-3.300338533723457E-2"/>
                  <c:y val="6.13052487432204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DEE-48F9-91C5-63060273C2D6}"/>
                </c:ext>
              </c:extLst>
            </c:dLbl>
            <c:dLbl>
              <c:idx val="3"/>
              <c:layout>
                <c:manualLayout>
                  <c:x val="-4.0655226561529201E-2"/>
                  <c:y val="7.24369808465017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ED-4D1F-BA65-ACC65D090C23}"/>
                </c:ext>
              </c:extLst>
            </c:dLbl>
            <c:dLbl>
              <c:idx val="4"/>
              <c:layout>
                <c:manualLayout>
                  <c:x val="-3.5877645853809162E-2"/>
                  <c:y val="-7.85927674372511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ED-4D1F-BA65-ACC65D090C23}"/>
                </c:ext>
              </c:extLst>
            </c:dLbl>
            <c:dLbl>
              <c:idx val="5"/>
              <c:layout>
                <c:manualLayout>
                  <c:x val="-5.0220028091897406E-2"/>
                  <c:y val="5.41303446908953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ED-4D1F-BA65-ACC65D090C23}"/>
                </c:ext>
              </c:extLst>
            </c:dLbl>
            <c:dLbl>
              <c:idx val="6"/>
              <c:layout>
                <c:manualLayout>
                  <c:x val="-4.4481147173676461E-2"/>
                  <c:y val="5.147978374302777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DEE-48F9-91C5-63060273C2D6}"/>
                </c:ext>
              </c:extLst>
            </c:dLbl>
            <c:dLbl>
              <c:idx val="7"/>
              <c:layout>
                <c:manualLayout>
                  <c:x val="-3.3964685547735511E-2"/>
                  <c:y val="5.753040595326042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DEE-48F9-91C5-63060273C2D6}"/>
                </c:ext>
              </c:extLst>
            </c:dLbl>
            <c:dLbl>
              <c:idx val="8"/>
              <c:layout>
                <c:manualLayout>
                  <c:x val="-4.0655226561529235E-2"/>
                  <c:y val="7.0010630822176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DEE-48F9-91C5-63060273C2D6}"/>
                </c:ext>
              </c:extLst>
            </c:dLbl>
            <c:dLbl>
              <c:idx val="9"/>
              <c:layout>
                <c:manualLayout>
                  <c:x val="-3.8742266255455515E-2"/>
                  <c:y val="6.543397178327536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DEE-48F9-91C5-63060273C2D6}"/>
                </c:ext>
              </c:extLst>
            </c:dLbl>
            <c:dLbl>
              <c:idx val="10"/>
              <c:layout>
                <c:manualLayout>
                  <c:x val="-3.3964685547735511E-2"/>
                  <c:y val="5.413034469089524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DFC-469C-81F6-8603C3906848}"/>
                </c:ext>
              </c:extLst>
            </c:dLbl>
            <c:dLbl>
              <c:idx val="11"/>
              <c:layout>
                <c:manualLayout>
                  <c:x val="-3.6829305949381864E-2"/>
                  <c:y val="2.74758103749617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DEE-48F9-91C5-63060273C2D6}"/>
                </c:ext>
              </c:extLst>
            </c:dLbl>
            <c:dLbl>
              <c:idx val="12"/>
              <c:layout>
                <c:manualLayout>
                  <c:x val="-3.6905071227646045E-2"/>
                  <c:y val="-3.91571019297645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DEE-48F9-91C5-63060273C2D6}"/>
                </c:ext>
              </c:extLst>
            </c:dLbl>
            <c:dLbl>
              <c:idx val="13"/>
              <c:layout>
                <c:manualLayout>
                  <c:x val="-2.395598685028073E-2"/>
                  <c:y val="-4.39579091515163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DEE-48F9-91C5-63060273C2D6}"/>
                </c:ext>
              </c:extLst>
            </c:dLbl>
            <c:dLbl>
              <c:idx val="14"/>
              <c:layout>
                <c:manualLayout>
                  <c:x val="-9.5648015303683859E-3"/>
                  <c:y val="-3.40046709606455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DEE-48F9-91C5-63060273C2D6}"/>
                </c:ext>
              </c:extLst>
            </c:dLbl>
            <c:dLbl>
              <c:idx val="15"/>
              <c:layout>
                <c:manualLayout>
                  <c:x val="-1.8498476786529341E-3"/>
                  <c:y val="3.20864653823034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F5B-470F-9118-6A81595F8FCA}"/>
                </c:ext>
              </c:extLst>
            </c:dLbl>
            <c:dLbl>
              <c:idx val="16"/>
              <c:layout>
                <c:manualLayout>
                  <c:x val="-1.1803115715270168E-3"/>
                  <c:y val="-3.11036517260739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9D1-4479-BAB2-8DBCBF160FB5}"/>
                </c:ext>
              </c:extLst>
            </c:dLbl>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Arial" panose="020B0604020202020204" pitchFamily="34" charset="0"/>
                    <a:ea typeface="+mn-ea"/>
                    <a:cs typeface="Arial" panose="020B0604020202020204" pitchFamily="34" charset="0"/>
                  </a:defRPr>
                </a:pPr>
                <a:endParaRPr lang="nl-N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Blad1!$A$2:$A$18</c:f>
              <c:strCache>
                <c:ptCount val="17"/>
                <c:pt idx="0">
                  <c:v>2020</c:v>
                </c:pt>
                <c:pt idx="1">
                  <c:v>2021</c:v>
                </c:pt>
                <c:pt idx="2">
                  <c:v>2022</c:v>
                </c:pt>
                <c:pt idx="3">
                  <c:v>Q1 23</c:v>
                </c:pt>
                <c:pt idx="4">
                  <c:v>Q2 23</c:v>
                </c:pt>
                <c:pt idx="5">
                  <c:v>Q3 23</c:v>
                </c:pt>
                <c:pt idx="6">
                  <c:v>Q4 23</c:v>
                </c:pt>
                <c:pt idx="7">
                  <c:v>Q1 24</c:v>
                </c:pt>
                <c:pt idx="8">
                  <c:v>Q2 24</c:v>
                </c:pt>
                <c:pt idx="9">
                  <c:v>Q3 24</c:v>
                </c:pt>
                <c:pt idx="10">
                  <c:v>Q4 24</c:v>
                </c:pt>
                <c:pt idx="11">
                  <c:v>Q1 25</c:v>
                </c:pt>
                <c:pt idx="12">
                  <c:v>Q2 25</c:v>
                </c:pt>
                <c:pt idx="13">
                  <c:v>Q3 25</c:v>
                </c:pt>
                <c:pt idx="14">
                  <c:v>Q4 25</c:v>
                </c:pt>
                <c:pt idx="15">
                  <c:v>Q1 26</c:v>
                </c:pt>
                <c:pt idx="16">
                  <c:v>mrt-26</c:v>
                </c:pt>
              </c:strCache>
            </c:strRef>
          </c:cat>
          <c:val>
            <c:numRef>
              <c:f>Blad1!$C$2:$C$18</c:f>
              <c:numCache>
                <c:formatCode>0.0%</c:formatCode>
                <c:ptCount val="17"/>
                <c:pt idx="0">
                  <c:v>0.12446268727598607</c:v>
                </c:pt>
                <c:pt idx="1">
                  <c:v>-5.8176372553449929E-2</c:v>
                </c:pt>
                <c:pt idx="2">
                  <c:v>-1.2999999999999999E-2</c:v>
                </c:pt>
                <c:pt idx="3">
                  <c:v>-1.0421958657709477E-2</c:v>
                </c:pt>
                <c:pt idx="4">
                  <c:v>7.098421033454853E-4</c:v>
                </c:pt>
                <c:pt idx="5">
                  <c:v>-1.1598576481308628E-2</c:v>
                </c:pt>
                <c:pt idx="6">
                  <c:v>-1.6949906693065675E-2</c:v>
                </c:pt>
                <c:pt idx="7">
                  <c:v>3.5999999999999997E-2</c:v>
                </c:pt>
                <c:pt idx="8">
                  <c:v>-5.0000000000000001E-3</c:v>
                </c:pt>
                <c:pt idx="9">
                  <c:v>3.4000000000000002E-2</c:v>
                </c:pt>
                <c:pt idx="10">
                  <c:v>2.1999999999999999E-2</c:v>
                </c:pt>
                <c:pt idx="11">
                  <c:v>1.4999999999999999E-2</c:v>
                </c:pt>
                <c:pt idx="12">
                  <c:v>3.9E-2</c:v>
                </c:pt>
                <c:pt idx="13">
                  <c:v>0.01</c:v>
                </c:pt>
                <c:pt idx="14">
                  <c:v>1.2999999999999999E-2</c:v>
                </c:pt>
                <c:pt idx="15">
                  <c:v>1.0999999999999999E-2</c:v>
                </c:pt>
                <c:pt idx="16">
                  <c:v>1.7999999999999999E-2</c:v>
                </c:pt>
              </c:numCache>
            </c:numRef>
          </c:val>
          <c:smooth val="0"/>
          <c:extLst>
            <c:ext xmlns:c16="http://schemas.microsoft.com/office/drawing/2014/chart" uri="{C3380CC4-5D6E-409C-BE32-E72D297353CC}">
              <c16:uniqueId val="{0000000D-EDEE-48F9-91C5-63060273C2D6}"/>
            </c:ext>
          </c:extLst>
        </c:ser>
        <c:dLbls>
          <c:showLegendKey val="0"/>
          <c:showVal val="0"/>
          <c:showCatName val="0"/>
          <c:showSerName val="0"/>
          <c:showPercent val="0"/>
          <c:showBubbleSize val="0"/>
        </c:dLbls>
        <c:marker val="1"/>
        <c:smooth val="0"/>
        <c:axId val="971202607"/>
        <c:axId val="971188463"/>
      </c:lineChart>
      <c:catAx>
        <c:axId val="9712026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nl-NL"/>
          </a:p>
        </c:txPr>
        <c:crossAx val="971188463"/>
        <c:crosses val="autoZero"/>
        <c:auto val="1"/>
        <c:lblAlgn val="ctr"/>
        <c:lblOffset val="100"/>
        <c:noMultiLvlLbl val="0"/>
      </c:catAx>
      <c:valAx>
        <c:axId val="971188463"/>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crossAx val="971202607"/>
        <c:crosses val="autoZero"/>
        <c:crossBetween val="between"/>
      </c:valAx>
      <c:spPr>
        <a:noFill/>
        <a:ln>
          <a:noFill/>
        </a:ln>
        <a:effectLst/>
      </c:spPr>
    </c:plotArea>
    <c:legend>
      <c:legendPos val="t"/>
      <c:layout>
        <c:manualLayout>
          <c:xMode val="edge"/>
          <c:yMode val="edge"/>
          <c:x val="0.63825843520375847"/>
          <c:y val="3.7420634920634917E-2"/>
          <c:w val="0.28587715631672295"/>
          <c:h val="7.136253941411685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CB075CE2FAC640A4AE3333701B5AE7" ma:contentTypeVersion="16" ma:contentTypeDescription="Create a new document." ma:contentTypeScope="" ma:versionID="4780dded3d31810ff7d2b11ef1de0b68">
  <xsd:schema xmlns:xsd="http://www.w3.org/2001/XMLSchema" xmlns:xs="http://www.w3.org/2001/XMLSchema" xmlns:p="http://schemas.microsoft.com/office/2006/metadata/properties" xmlns:ns2="e39b761b-4251-4f7e-8433-2c5c824a7d37" xmlns:ns3="07066288-8686-41de-b749-8d390947cb52" targetNamespace="http://schemas.microsoft.com/office/2006/metadata/properties" ma:root="true" ma:fieldsID="ef5df3781f3d8acf797a3fa931100fb4" ns2:_="" ns3:_="">
    <xsd:import namespace="e39b761b-4251-4f7e-8433-2c5c824a7d37"/>
    <xsd:import namespace="07066288-8686-41de-b749-8d390947cb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b761b-4251-4f7e-8433-2c5c824a7d3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9c813d1-3f9e-494f-9cfd-821de19a3d71}" ma:internalName="TaxCatchAll" ma:showField="CatchAllData" ma:web="e39b761b-4251-4f7e-8433-2c5c824a7d3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066288-8686-41de-b749-8d390947cb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ee84d0e-6e93-49eb-b9f4-5341c9135f0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39b761b-4251-4f7e-8433-2c5c824a7d37" xsi:nil="true"/>
    <lcf76f155ced4ddcb4097134ff3c332f xmlns="07066288-8686-41de-b749-8d390947cb5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AD09CB-37A9-4EFA-9F6E-CBE7238B2853}">
  <ds:schemaRefs>
    <ds:schemaRef ds:uri="http://schemas.microsoft.com/sharepoint/v3/contenttype/forms"/>
  </ds:schemaRefs>
</ds:datastoreItem>
</file>

<file path=customXml/itemProps2.xml><?xml version="1.0" encoding="utf-8"?>
<ds:datastoreItem xmlns:ds="http://schemas.openxmlformats.org/officeDocument/2006/customXml" ds:itemID="{4BED8D88-19D5-40C4-B6A2-A20A188C8CB8}"/>
</file>

<file path=customXml/itemProps3.xml><?xml version="1.0" encoding="utf-8"?>
<ds:datastoreItem xmlns:ds="http://schemas.openxmlformats.org/officeDocument/2006/customXml" ds:itemID="{846DCF78-6123-424C-B8BA-493B8FF4FC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CC9280-8C4D-41F7-9130-12247B873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2330</Words>
  <Characters>13282</Characters>
  <Application>Microsoft Office Word</Application>
  <DocSecurity>0</DocSecurity>
  <Lines>110</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15581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Anne-Marie Roerink</cp:lastModifiedBy>
  <cp:revision>4</cp:revision>
  <dcterms:created xsi:type="dcterms:W3CDTF">2026-04-13T13:46:00Z</dcterms:created>
  <dcterms:modified xsi:type="dcterms:W3CDTF">2026-04-13T23:21:00Z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0x01010089CB075CE2FAC640A4AE3333701B5AE7</vt:lpwstr>
  </property>
</Properties>
</file>